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spacing w:before="0" w:beforeAutospacing="0" w:after="0" w:afterAutospacing="0" w:line="240" w:lineRule="auto"/>
        <w:rPr>
          <w:rFonts w:eastAsia="Calibri"/>
          <w:b/>
          <w:bCs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keepLines/>
        <w:keepNext/>
        <w:spacing w:before="0" w:beforeAutospacing="0" w:after="0" w:afterAutospacing="0" w:line="240" w:lineRule="auto"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spacing w:before="0" w:beforeAutospacing="0" w:after="0" w:afterAutospacing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jc w:val="center"/>
        <w:keepLines/>
        <w:keepNext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jc w:val="center"/>
        <w:keepLines/>
        <w:keepNext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Технические требования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на поставку МТР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jc w:val="center"/>
        <w:keepLines/>
        <w:keepNext/>
        <w:spacing w:before="0" w:beforeAutospacing="0" w:after="0" w:afterAutospacing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</w:p>
    <w:p>
      <w:pPr>
        <w:jc w:val="center"/>
        <w:keepLines/>
        <w:keepNext/>
        <w:spacing w:before="0" w:beforeAutospacing="0" w:after="0" w:afterAutospacing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</w:p>
    <w:p>
      <w:pPr>
        <w:ind w:firstLine="0"/>
        <w:jc w:val="center"/>
        <w:spacing w:before="57" w:after="57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«ОКПД2: 31.01.1 Поставка мебели офисной для нужд структурных подразделений АО  ДГК , Хабаровского края, Приморского края,  Амурская обл., Республика Саха Якутия, ЕАО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center"/>
        <w:spacing w:before="57" w:after="57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>
      <w:pPr>
        <w:ind w:left="-108" w:right="-108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Лот № </w:t>
      </w:r>
      <w:r>
        <w:rPr>
          <w:rFonts w:ascii="Times New Roman" w:hAnsi="Times New Roman" w:cs="Times New Roman"/>
          <w:sz w:val="28"/>
          <w:szCs w:val="28"/>
        </w:rPr>
        <w:t xml:space="preserve">42016115-ЭКСП ПРОД-2026-ДГК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-108" w:right="-108"/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</w:p>
    <w:p>
      <w:pPr>
        <w:jc w:val="center"/>
        <w:keepLines/>
        <w:keepNext/>
        <w:spacing w:before="0" w:beforeAutospacing="0" w:after="0" w:afterAutospacing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</w:p>
    <w:p>
      <w:pPr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before="0" w:beforeAutospacing="0" w:after="0" w:afterAutospacing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before="0" w:beforeAutospacing="0" w:after="0" w:afterAutospacing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72" w:anchor="_Toc161133572" w:history="1">
        <w:r>
          <w:rPr>
            <w:rStyle w:val="970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970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_Toc161133572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81"/>
        <w:spacing w:before="0" w:beforeAutospacing="0" w:after="0" w:afterAutospacing="0" w:line="240" w:lineRule="auto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61133573" w:anchor="_Toc161133573" w:history="1">
        <w:r>
          <w:rPr>
            <w:rStyle w:val="970"/>
            <w:iCs/>
          </w:rPr>
          <w:t xml:space="preserve">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970"/>
          </w:rPr>
          <w:t xml:space="preserve">Обозначения и сокращения</w:t>
        </w:r>
        <w:r>
          <w:tab/>
        </w:r>
        <w:r>
          <w:fldChar w:fldCharType="begin"/>
        </w:r>
        <w:r>
          <w:instrText xml:space="preserve"> PAGEREF _Toc161133573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81"/>
        <w:spacing w:before="0" w:beforeAutospacing="0" w:after="0" w:afterAutospacing="0" w:line="240" w:lineRule="auto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61133574" w:anchor="_Toc161133574" w:history="1">
        <w:r>
          <w:rPr>
            <w:rStyle w:val="970"/>
            <w:iCs/>
          </w:rPr>
          <w:t xml:space="preserve">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970"/>
          </w:rPr>
          <w:t xml:space="preserve">Наименование закупаемой продукции</w:t>
        </w:r>
        <w:r>
          <w:tab/>
        </w:r>
        <w:r>
          <w:fldChar w:fldCharType="begin"/>
        </w:r>
        <w:r>
          <w:instrText xml:space="preserve"> PAGEREF _Toc161133574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81"/>
        <w:spacing w:before="0" w:beforeAutospacing="0" w:after="0" w:afterAutospacing="0" w:line="240" w:lineRule="auto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61133575" w:anchor="_Toc161133575" w:history="1">
        <w:r>
          <w:rPr>
            <w:rStyle w:val="970"/>
            <w:iCs/>
          </w:rPr>
          <w:t xml:space="preserve">1.3.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970"/>
          </w:rPr>
          <w:t xml:space="preserve">Цель использования закупаемой продукции</w:t>
        </w:r>
        <w:r>
          <w:tab/>
        </w:r>
        <w:r>
          <w:fldChar w:fldCharType="begin"/>
        </w:r>
        <w:r>
          <w:instrText xml:space="preserve"> PAGEREF _Toc161133575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81"/>
        <w:spacing w:before="0" w:beforeAutospacing="0" w:after="0" w:afterAutospacing="0" w:line="240" w:lineRule="auto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61133576" w:anchor="_Toc161133576" w:history="1">
        <w:r>
          <w:rPr>
            <w:rStyle w:val="970"/>
            <w:iCs/>
          </w:rPr>
          <w:t xml:space="preserve">1.4.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970"/>
          </w:rPr>
          <w:t xml:space="preserve">Существующее положение</w:t>
        </w:r>
        <w:r>
          <w:tab/>
        </w:r>
        <w:r>
          <w:fldChar w:fldCharType="begin"/>
        </w:r>
        <w:r>
          <w:instrText xml:space="preserve"> PAGEREF _Toc161133576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34"/>
        <w:numPr>
          <w:ilvl w:val="0"/>
          <w:numId w:val="0"/>
        </w:numPr>
        <w:ind w:left="0" w:firstLine="0"/>
        <w:spacing w:before="0" w:beforeAutospacing="0" w:after="0" w:afterAutospacing="0" w:line="240" w:lineRule="auto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          1.5   </w:t>
      </w:r>
      <w:r>
        <w:rPr>
          <w:b w:val="0"/>
          <w:bCs w:val="0"/>
          <w:sz w:val="20"/>
          <w:szCs w:val="20"/>
        </w:rPr>
        <w:t xml:space="preserve">Иные требования и сведения общего характера</w:t>
      </w:r>
      <w:r>
        <w:rPr>
          <w:b w:val="0"/>
          <w:bCs w:val="0"/>
          <w:sz w:val="20"/>
          <w:szCs w:val="20"/>
        </w:rPr>
        <w:t xml:space="preserve">.................................................................................................3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77" w:anchor="_Toc161133577" w:history="1">
        <w:r>
          <w:rPr>
            <w:rStyle w:val="970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970"/>
            <w:iCs/>
          </w:rPr>
          <w:t xml:space="preserve">Требования к продукции</w:t>
        </w:r>
        <w:r>
          <w:tab/>
        </w:r>
        <w:r>
          <w:rPr>
            <w:sz w:val="22"/>
            <w:szCs w:val="22"/>
          </w:rPr>
        </w:r>
        <w:r>
          <w:t xml:space="preserve">4</w:t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81"/>
        <w:spacing w:before="0" w:beforeAutospacing="0" w:after="0" w:afterAutospacing="0" w:line="240" w:lineRule="auto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61133578" w:anchor="_Toc161133578" w:history="1">
        <w:r>
          <w:rPr>
            <w:rStyle w:val="970"/>
            <w:iCs/>
          </w:rPr>
          <w:t xml:space="preserve">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970"/>
          </w:rPr>
          <w:t xml:space="preserve">Требования к объемам и срокам поставки</w:t>
        </w:r>
        <w:r>
          <w:tab/>
        </w:r>
        <w:r>
          <w:fldChar w:fldCharType="begin"/>
        </w:r>
        <w:r>
          <w:instrText xml:space="preserve"> PAGEREF _Toc161133578 \h </w:instrText>
        </w:r>
        <w:r>
          <w:fldChar w:fldCharType="separate"/>
        </w:r>
        <w:r>
          <w:fldChar w:fldCharType="end"/>
          <w:t xml:space="preserve">4</w:t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69"/>
        <w:spacing w:before="0" w:beforeAutospacing="0" w:after="0" w:afterAutospacing="0" w:line="240" w:lineRule="auto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61133579" w:anchor="_Toc161133579" w:history="1">
        <w:r>
          <w:rPr>
            <w:rStyle w:val="970"/>
          </w:rPr>
          <w:t xml:space="preserve">    2.1.1.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970"/>
          </w:rPr>
          <w:t xml:space="preserve">Перечень и объем закупаемой продукции</w:t>
        </w:r>
        <w:r>
          <w:tab/>
        </w:r>
        <w:r>
          <w:fldChar w:fldCharType="begin"/>
        </w:r>
        <w:r>
          <w:instrText xml:space="preserve"> PAGEREF _Toc161133579 \h </w:instrText>
        </w:r>
        <w:r>
          <w:fldChar w:fldCharType="separate"/>
        </w:r>
        <w:r>
          <w:fldChar w:fldCharType="end"/>
          <w:t xml:space="preserve">4</w:t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80" w:anchor="_Toc161133580" w:history="1">
        <w:r>
          <w:rPr>
            <w:rStyle w:val="970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«Excel» Приложение № 1.</w:t>
        </w:r>
        <w:r>
          <w:tab/>
        </w:r>
        <w:r>
          <w:fldChar w:fldCharType="begin"/>
        </w:r>
        <w:r>
          <w:instrText xml:space="preserve"> PAGEREF _Toc161133580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  <w:t xml:space="preserve">4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81" w:anchor="_Toc161133581" w:history="1">
        <w:r>
          <w:rPr>
            <w:rStyle w:val="970"/>
          </w:rPr>
          <w:t xml:space="preserve">Таблица 1.2 Перечень требований к эквивалентной продукции</w:t>
        </w:r>
        <w:r>
          <w:tab/>
        </w:r>
        <w:r>
          <w:fldChar w:fldCharType="begin"/>
        </w:r>
        <w:r>
          <w:instrText xml:space="preserve"> PAGEREF _Toc161133581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  <w:t xml:space="preserve">4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82" w:anchor="_Toc161133582" w:history="1">
        <w:r>
          <w:rPr>
            <w:rStyle w:val="970"/>
          </w:rPr>
          <w:t xml:space="preserve">Таблица 1.3 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_Toc161133582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  <w:t xml:space="preserve">4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83" w:anchor="_Toc161133583" w:history="1">
        <w:r>
          <w:rPr>
            <w:rStyle w:val="970"/>
          </w:rPr>
          <w:t xml:space="preserve">Таблица 1.4 Прочие (дополнительные) требования к продукции</w:t>
        </w:r>
        <w:r>
          <w:tab/>
        </w:r>
        <w:r>
          <w:fldChar w:fldCharType="begin"/>
        </w:r>
        <w:r>
          <w:instrText xml:space="preserve"> PAGEREF _Toc161133583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9"/>
        <w:spacing w:before="0" w:beforeAutospacing="0" w:after="0" w:afterAutospacing="0" w:line="240" w:lineRule="auto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61133584" w:anchor="_Toc161133584" w:history="1">
        <w:r>
          <w:rPr>
            <w:rStyle w:val="970"/>
          </w:rPr>
          <w:t xml:space="preserve">2.1.2.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970"/>
          </w:rPr>
          <w:t xml:space="preserve">Требования к срокам поставки продукции и оказания сопутствующих услуг</w:t>
        </w:r>
        <w:r>
          <w:tab/>
        </w:r>
        <w:r>
          <w:fldChar w:fldCharType="begin"/>
        </w:r>
        <w:r>
          <w:instrText xml:space="preserve"> PAGEREF _Toc161133584 \h </w:instrText>
        </w:r>
        <w:r>
          <w:fldChar w:fldCharType="separate"/>
        </w:r>
        <w:r>
          <w:fldChar w:fldCharType="end"/>
        </w:r>
      </w:hyperlink>
      <w:r>
        <w:rPr>
          <w:rFonts w:ascii="Times New Roman" w:hAnsi="Times New Roman" w:eastAsia="Times New Roman" w:cs="Times New Roman" w:eastAsiaTheme="minorEastAsia"/>
          <w:b/>
          <w:bCs/>
          <w:sz w:val="22"/>
          <w:szCs w:val="22"/>
        </w:rPr>
        <w:t xml:space="preserve">5</w:t>
      </w:r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85" w:anchor="_Toc161133585" w:history="1">
        <w:r>
          <w:rPr>
            <w:rStyle w:val="970"/>
          </w:rPr>
          <w:t xml:space="preserve">Таблица 2.1 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_Toc161133585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  <w:t xml:space="preserve">5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86" w:anchor="_Toc161133586" w:history="1">
        <w:r>
          <w:rPr>
            <w:rStyle w:val="970"/>
          </w:rPr>
          <w:t xml:space="preserve">Таблица 2.2 Требования по срокам оказания сопутствующих услуг</w:t>
        </w:r>
        <w:r>
          <w:tab/>
        </w:r>
        <w:r>
          <w:fldChar w:fldCharType="begin"/>
        </w:r>
        <w:r>
          <w:instrText xml:space="preserve"> PAGEREF _Toc161133586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  <w:t xml:space="preserve">5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87" w:anchor="_Toc161133587" w:history="1">
        <w:r>
          <w:rPr>
            <w:rStyle w:val="970"/>
          </w:rPr>
          <w:t xml:space="preserve">3. Требования к документации по ценообразованию на этапе закупки</w:t>
        </w:r>
        <w:r>
          <w:tab/>
        </w:r>
        <w:r>
          <w:fldChar w:fldCharType="begin"/>
        </w:r>
        <w:r>
          <w:instrText xml:space="preserve"> PAGEREF _Toc161133587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  <w:t xml:space="preserve">6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88" w:anchor="_Toc161133588" w:history="1">
        <w:r>
          <w:rPr>
            <w:rStyle w:val="970"/>
          </w:rPr>
          <w:t xml:space="preserve">4. Требования к документации по ценообразованию на этапе заключения</w:t>
        </w:r>
        <w:r>
          <w:tab/>
        </w:r>
        <w:r>
          <w:fldChar w:fldCharType="begin"/>
        </w:r>
        <w:r>
          <w:instrText xml:space="preserve"> PAGEREF _Toc161133588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  <w:t xml:space="preserve">6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61133589" w:anchor="_Toc161133589" w:history="1">
        <w:r>
          <w:rPr>
            <w:rStyle w:val="970"/>
          </w:rPr>
          <w:t xml:space="preserve">(исполнения) договора</w:t>
        </w:r>
        <w:r>
          <w:tab/>
        </w:r>
        <w:r>
          <w:fldChar w:fldCharType="begin"/>
        </w:r>
        <w:r>
          <w:instrText xml:space="preserve"> PAGEREF _Toc161133589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  <w:t xml:space="preserve">5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Таблица 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Прочие (дополнительные) требования к продукции........................................................</w:t>
      </w:r>
      <w:r>
        <w:rPr>
          <w:b/>
          <w:bCs/>
          <w:sz w:val="24"/>
          <w:szCs w:val="24"/>
        </w:rPr>
        <w:t xml:space="preserve">6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68"/>
        <w:spacing w:before="0" w:beforeAutospacing="0" w:after="0" w:afterAutospacing="0" w:line="240" w:lineRule="auto"/>
        <w:tabs>
          <w:tab w:val="left" w:pos="2265" w:leader="none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68"/>
        <w:spacing w:before="0" w:beforeAutospacing="0" w:after="0" w:afterAutospacing="0" w:line="240" w:lineRule="auto"/>
        <w:rPr>
          <w:rFonts w:eastAsiaTheme="minorEastAsia"/>
          <w:b/>
          <w:bCs/>
        </w:rPr>
      </w:pPr>
      <w:r>
        <w:rPr>
          <w:i/>
        </w:rPr>
        <w:fldChar w:fldCharType="end"/>
      </w:r>
      <w:r>
        <w:rPr>
          <w:rFonts w:eastAsiaTheme="minorEastAsia"/>
        </w:rPr>
        <w:t xml:space="preserve">5. Приложения....................................................................................................................................</w:t>
      </w:r>
      <w:r>
        <w:rPr>
          <w:rFonts w:eastAsiaTheme="minorEastAsia"/>
          <w:b/>
          <w:bCs/>
        </w:rPr>
        <w:t xml:space="preserve">..</w:t>
      </w:r>
      <w:r>
        <w:rPr>
          <w:rFonts w:eastAsiaTheme="minorEastAsia"/>
          <w:b/>
          <w:bCs/>
        </w:rPr>
        <w:t xml:space="preserve">9</w:t>
      </w:r>
      <w:r>
        <w:rPr>
          <w:rFonts w:eastAsiaTheme="minorEastAsia"/>
          <w:b/>
          <w:bCs/>
        </w:rPr>
      </w:r>
      <w:r>
        <w:rPr>
          <w:rFonts w:eastAsiaTheme="minorEastAsia"/>
          <w:b/>
          <w:bCs/>
        </w:rPr>
      </w:r>
    </w:p>
    <w:p>
      <w:pPr>
        <w:pStyle w:val="935"/>
        <w:numPr>
          <w:ilvl w:val="0"/>
          <w:numId w:val="0"/>
        </w:numPr>
        <w:spacing w:before="0" w:beforeAutospacing="0" w:after="0" w:afterAutospacing="0" w:line="240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35"/>
        <w:numPr>
          <w:ilvl w:val="0"/>
          <w:numId w:val="0"/>
        </w:numPr>
        <w:spacing w:before="0" w:beforeAutospacing="0" w:after="0" w:afterAutospacing="0" w:line="240" w:lineRule="auto"/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934"/>
        <w:ind w:left="357" w:hanging="357"/>
        <w:jc w:val="center"/>
        <w:keepLines/>
        <w:spacing w:before="0" w:beforeAutospacing="0" w:after="0" w:afterAutospacing="0" w:line="240" w:lineRule="auto"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61133572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937"/>
        <w:spacing w:before="0" w:beforeAutospacing="0" w:after="0" w:afterAutospacing="0" w:line="240" w:lineRule="auto"/>
      </w:pPr>
      <w:r/>
      <w:bookmarkStart w:id="2" w:name="_Toc46743505"/>
      <w:r/>
      <w:bookmarkStart w:id="3" w:name="_Toc161133573"/>
      <w:r>
        <w:t xml:space="preserve">Обозначения и сокращения</w:t>
      </w:r>
      <w:bookmarkEnd w:id="2"/>
      <w:r/>
      <w:bookmarkEnd w:id="3"/>
      <w:r/>
      <w:r/>
    </w:p>
    <w:p>
      <w:pPr>
        <w:keepLines/>
        <w:keepNext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49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шт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штука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240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Эквивалент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Эквивалентная продукция — это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и срокам эксплуатации.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740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ПП РФ № 719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РФ от 17.07.2015 № 719 «О подтверждении производства российской промышленной продукции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</w:p>
        </w:tc>
      </w:tr>
    </w:tbl>
    <w:p>
      <w:pPr>
        <w:keepLines/>
        <w:keepNext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7"/>
        <w:spacing w:before="0" w:beforeAutospacing="0" w:after="0" w:afterAutospacing="0" w:line="240" w:lineRule="auto"/>
      </w:pPr>
      <w:r>
        <w:t xml:space="preserve">Наименование </w:t>
      </w:r>
      <w:r>
        <w:t xml:space="preserve">закупаемой продукции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/>
    </w:p>
    <w:p>
      <w:pPr>
        <w:jc w:val="left"/>
        <w:spacing w:before="57" w:after="57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ОКПД2: 31.01.1 Поставка мебели офисной для нужд структурных подразделений АО  ДГК , Хабаровского края, Приморского края,  Амурская обл., Республика Саха Якутия, ЕАО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</w:rPr>
      </w:r>
    </w:p>
    <w:p>
      <w:pPr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37"/>
        <w:ind w:left="431" w:hanging="431"/>
        <w:spacing w:before="0" w:beforeAutospacing="0" w:after="0" w:afterAutospacing="0" w:line="240" w:lineRule="auto"/>
      </w:pPr>
      <w:r/>
      <w:bookmarkStart w:id="7" w:name="_Toc46743507"/>
      <w:r/>
      <w:bookmarkStart w:id="8" w:name="_Toc161133575"/>
      <w:r>
        <w:t xml:space="preserve">Цель </w:t>
      </w:r>
      <w:bookmarkEnd w:id="7"/>
      <w:r>
        <w:rPr>
          <w:lang w:val="ru-RU"/>
        </w:rPr>
        <w:t xml:space="preserve">использования закупаемой продукции</w:t>
      </w:r>
      <w:bookmarkEnd w:id="8"/>
      <w:r>
        <w:rPr>
          <w:lang w:val="ru-RU"/>
        </w:rPr>
        <w:t xml:space="preserve"> </w:t>
      </w:r>
      <w:r/>
    </w:p>
    <w:p>
      <w:pPr>
        <w:jc w:val="both"/>
        <w:spacing w:before="0" w:beforeAutospacing="0" w:after="0" w:afterAutospacing="0" w:line="240" w:lineRule="auto"/>
        <w:widowControl w:val="off"/>
        <w:tabs>
          <w:tab w:val="left" w:pos="426" w:leader="none"/>
        </w:tabs>
        <w:rPr>
          <w:rFonts w:eastAsia="Calibri"/>
          <w:i w:val="0"/>
          <w:iCs w:val="0"/>
          <w:sz w:val="24"/>
          <w:szCs w:val="24"/>
          <w:highlight w:val="none"/>
        </w:rPr>
      </w:pPr>
      <w:r>
        <w:rPr>
          <w:rFonts w:eastAsia="Calibri"/>
          <w:i w:val="0"/>
          <w:iCs w:val="0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Поставка мебели офисной для нужд структурных подразделений АО  ДГК .</w:t>
      </w:r>
      <w:r>
        <w:rPr>
          <w:rFonts w:eastAsia="Calibri"/>
          <w:i w:val="0"/>
          <w:iCs w:val="0"/>
          <w:sz w:val="24"/>
          <w:szCs w:val="24"/>
          <w:highlight w:val="none"/>
        </w:rPr>
      </w:r>
      <w:r>
        <w:rPr>
          <w:rFonts w:eastAsia="Calibri"/>
          <w:i w:val="0"/>
          <w:iCs w:val="0"/>
          <w:sz w:val="24"/>
          <w:szCs w:val="24"/>
          <w:highlight w:val="none"/>
        </w:rPr>
      </w:r>
    </w:p>
    <w:p>
      <w:pPr>
        <w:jc w:val="both"/>
        <w:spacing w:before="0" w:beforeAutospacing="0" w:after="0" w:afterAutospacing="0" w:line="240" w:lineRule="auto"/>
        <w:widowControl w:val="off"/>
        <w:tabs>
          <w:tab w:val="left" w:pos="426" w:leader="none"/>
        </w:tabs>
        <w:rPr>
          <w:rFonts w:eastAsia="Calibri"/>
          <w:bCs w:val="0"/>
          <w:i w:val="0"/>
          <w:sz w:val="24"/>
          <w:szCs w:val="24"/>
          <w:highlight w:val="none"/>
        </w:rPr>
      </w:pPr>
      <w:r>
        <w:rPr>
          <w:rFonts w:eastAsia="Calibri"/>
          <w:bCs w:val="0"/>
          <w:i w:val="0"/>
          <w:sz w:val="24"/>
          <w:szCs w:val="24"/>
          <w:highlight w:val="none"/>
        </w:rPr>
      </w:r>
      <w:r>
        <w:rPr>
          <w:rFonts w:eastAsia="Calibri"/>
          <w:bCs w:val="0"/>
          <w:i w:val="0"/>
          <w:sz w:val="24"/>
          <w:szCs w:val="24"/>
          <w:highlight w:val="none"/>
        </w:rPr>
      </w:r>
      <w:r>
        <w:rPr>
          <w:rFonts w:eastAsia="Calibri"/>
          <w:bCs w:val="0"/>
          <w:i w:val="0"/>
          <w:sz w:val="24"/>
          <w:szCs w:val="24"/>
          <w:highlight w:val="none"/>
        </w:rPr>
      </w:r>
    </w:p>
    <w:p>
      <w:pPr>
        <w:pStyle w:val="937"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bookmarkStart w:id="9" w:name="_Toc46743508"/>
      <w:r>
        <w:rPr>
          <w:sz w:val="24"/>
          <w:szCs w:val="24"/>
        </w:rPr>
      </w:r>
      <w:bookmarkStart w:id="10" w:name="_Toc161133576"/>
      <w:r>
        <w:rPr>
          <w:sz w:val="24"/>
          <w:szCs w:val="24"/>
        </w:rPr>
        <w:t xml:space="preserve">Существующее положение</w:t>
      </w:r>
      <w:bookmarkEnd w:id="9"/>
      <w:r>
        <w:rPr>
          <w:sz w:val="24"/>
          <w:szCs w:val="24"/>
        </w:rPr>
      </w:r>
      <w:bookmarkEnd w:id="10"/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0" w:beforeAutospacing="0" w:after="0" w:afterAutospacing="0" w:line="240" w:lineRule="auto"/>
        <w:widowControl w:val="off"/>
        <w:tabs>
          <w:tab w:val="left" w:pos="426" w:leader="none"/>
        </w:tabs>
        <w:rPr>
          <w:rFonts w:eastAsia="Calibri"/>
          <w:i w:val="0"/>
          <w:iCs w:val="0"/>
          <w:sz w:val="24"/>
          <w:szCs w:val="24"/>
          <w:highlight w:val="none"/>
        </w:rPr>
      </w:pPr>
      <w:r>
        <w:rPr>
          <w:rFonts w:eastAsia="Calibri"/>
          <w:i w:val="0"/>
          <w:iCs w:val="0"/>
          <w:sz w:val="24"/>
          <w:szCs w:val="24"/>
        </w:rPr>
        <w:t xml:space="preserve">Отсутствует</w:t>
      </w:r>
      <w:r>
        <w:rPr>
          <w:rFonts w:eastAsia="Calibri"/>
          <w:i w:val="0"/>
          <w:iCs w:val="0"/>
          <w:sz w:val="24"/>
          <w:szCs w:val="24"/>
          <w:highlight w:val="none"/>
        </w:rPr>
        <w:t xml:space="preserve">.</w:t>
      </w:r>
      <w:r>
        <w:rPr>
          <w:rFonts w:eastAsia="Calibri"/>
          <w:i w:val="0"/>
          <w:iCs w:val="0"/>
          <w:sz w:val="24"/>
          <w:szCs w:val="24"/>
          <w:highlight w:val="none"/>
        </w:rPr>
      </w:r>
      <w:r>
        <w:rPr>
          <w:rFonts w:eastAsia="Calibri"/>
          <w:i w:val="0"/>
          <w:iCs w:val="0"/>
          <w:sz w:val="24"/>
          <w:szCs w:val="24"/>
          <w:highlight w:val="none"/>
        </w:rPr>
      </w:r>
    </w:p>
    <w:p>
      <w:pPr>
        <w:jc w:val="both"/>
        <w:spacing w:before="0" w:beforeAutospacing="0" w:after="0" w:afterAutospacing="0" w:line="240" w:lineRule="auto"/>
        <w:widowControl w:val="off"/>
        <w:tabs>
          <w:tab w:val="left" w:pos="426" w:leader="none"/>
        </w:tabs>
        <w:rPr>
          <w:rFonts w:eastAsia="Calibri"/>
          <w:bCs w:val="0"/>
          <w:i w:val="0"/>
          <w:sz w:val="24"/>
          <w:szCs w:val="24"/>
          <w:highlight w:val="none"/>
        </w:rPr>
      </w:pPr>
      <w:r>
        <w:rPr>
          <w:rFonts w:eastAsia="Calibri"/>
          <w:bCs/>
          <w:i w:val="0"/>
          <w:iCs w:val="0"/>
          <w:sz w:val="24"/>
          <w:szCs w:val="24"/>
          <w:highlight w:val="none"/>
        </w:rPr>
      </w:r>
      <w:r>
        <w:rPr>
          <w:rFonts w:eastAsia="Calibri"/>
          <w:bCs w:val="0"/>
          <w:i w:val="0"/>
          <w:sz w:val="24"/>
          <w:szCs w:val="24"/>
          <w:highlight w:val="none"/>
        </w:rPr>
      </w:r>
      <w:r>
        <w:rPr>
          <w:rFonts w:eastAsia="Calibri"/>
          <w:bCs w:val="0"/>
          <w:i w:val="0"/>
          <w:sz w:val="24"/>
          <w:szCs w:val="24"/>
          <w:highlight w:val="none"/>
        </w:rPr>
      </w:r>
    </w:p>
    <w:p>
      <w:pPr>
        <w:pStyle w:val="937"/>
        <w:spacing w:before="0" w:beforeAutospacing="0" w:after="0" w:afterAutospacing="0" w:line="240" w:lineRule="auto"/>
      </w:pPr>
      <w:r/>
      <w:bookmarkStart w:id="0" w:name="undefined"/>
      <w:r>
        <w:t xml:space="preserve">Иные требования и сведения общего характера</w:t>
      </w:r>
      <w:bookmarkEnd w:id="0"/>
      <w:r/>
      <w:r/>
    </w:p>
    <w:p>
      <w:pPr>
        <w:pStyle w:val="934"/>
        <w:numPr>
          <w:ilvl w:val="0"/>
          <w:numId w:val="0"/>
        </w:numPr>
        <w:ind w:right="0" w:firstLine="0"/>
        <w:jc w:val="both"/>
        <w:keepLines w:val="0"/>
        <w:keepNext w:val="0"/>
        <w:spacing w:before="0" w:beforeAutospacing="0" w:after="0" w:afterAutospacing="0" w:line="240" w:lineRule="auto"/>
        <w:shd w:val="clear" w:color="auto" w:fill="ffffff"/>
        <w:widowControl/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uppressLineNumbers w:val="0"/>
      </w:pP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№ 1875 «О мерах по предоставлению национального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  <w:t xml:space="preserve">.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1" w:right="851" w:bottom="709" w:left="1134" w:header="709" w:footer="709" w:gutter="0"/>
          <w:cols w:num="1" w:sep="0" w:space="708" w:equalWidth="1"/>
          <w:docGrid w:linePitch="360"/>
          <w:titlePg/>
        </w:sect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34"/>
        <w:ind w:left="357" w:hanging="357"/>
        <w:jc w:val="center"/>
        <w:keepLines/>
        <w:spacing w:before="0" w:beforeAutospacing="0" w:after="0" w:afterAutospacing="0" w:line="240" w:lineRule="auto"/>
        <w:rPr>
          <w:iCs/>
          <w:caps/>
          <w:sz w:val="24"/>
          <w:szCs w:val="24"/>
          <w:lang w:val="ru-RU"/>
        </w:rPr>
      </w:pPr>
      <w:r/>
      <w:bookmarkStart w:id="11" w:name="_Toc51339693"/>
      <w:r/>
      <w:bookmarkStart w:id="12" w:name="_Toc50125126"/>
      <w:r/>
      <w:bookmarkStart w:id="14" w:name="_Toc161133577"/>
      <w:r>
        <w:rPr>
          <w:iCs/>
          <w:sz w:val="24"/>
          <w:szCs w:val="24"/>
        </w:rPr>
        <w:t xml:space="preserve">Требования к продукции</w:t>
      </w:r>
      <w:bookmarkEnd w:id="11"/>
      <w:r/>
      <w:bookmarkEnd w:id="14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937"/>
        <w:spacing w:before="0" w:beforeAutospacing="0" w:after="0" w:afterAutospacing="0" w:line="240" w:lineRule="auto"/>
      </w:pPr>
      <w:r/>
      <w:bookmarkStart w:id="15" w:name="_Toc161133578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15"/>
      <w:r/>
      <w:r/>
    </w:p>
    <w:p>
      <w:pPr>
        <w:pStyle w:val="936"/>
        <w:spacing w:before="0" w:beforeAutospacing="0" w:after="0" w:afterAutospacing="0" w:line="240" w:lineRule="auto"/>
      </w:pPr>
      <w:r/>
      <w:bookmarkStart w:id="16" w:name="_Toc161133579"/>
      <w:r>
        <w:rPr>
          <w:lang w:val="ru-RU"/>
        </w:rPr>
        <w:t xml:space="preserve">Перечень и объем закупаемой продукции</w:t>
      </w:r>
      <w:bookmarkEnd w:id="16"/>
      <w:r/>
      <w:r/>
    </w:p>
    <w:p>
      <w:pPr>
        <w:pStyle w:val="934"/>
        <w:numPr>
          <w:ilvl w:val="0"/>
          <w:numId w:val="0"/>
        </w:numPr>
        <w:jc w:val="both"/>
        <w:keepLines/>
        <w:spacing w:before="0" w:beforeAutospacing="0" w:after="0" w:afterAutospacing="0" w:line="240" w:lineRule="auto"/>
        <w:rPr>
          <w:b w:val="0"/>
          <w:sz w:val="24"/>
          <w:szCs w:val="24"/>
          <w:lang w:val="ru-RU"/>
        </w:rPr>
      </w:pPr>
      <w:r/>
      <w:bookmarkStart w:id="17" w:name="_Toc51339695"/>
      <w:r/>
      <w:bookmarkStart w:id="18" w:name="_Toc161133580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17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</w:t>
      </w:r>
      <w:r>
        <w:rPr>
          <w:b w:val="0"/>
          <w:sz w:val="24"/>
          <w:szCs w:val="24"/>
          <w:lang w:val="ru-RU"/>
        </w:rPr>
        <w:t xml:space="preserve">Excel</w:t>
      </w:r>
      <w:r>
        <w:rPr>
          <w:b w:val="0"/>
          <w:sz w:val="24"/>
          <w:szCs w:val="24"/>
          <w:lang w:val="ru-RU"/>
        </w:rPr>
        <w:t xml:space="preserve">»</w:t>
      </w:r>
      <w:r>
        <w:rPr>
          <w:b w:val="0"/>
          <w:sz w:val="24"/>
          <w:szCs w:val="24"/>
          <w:lang w:val="ru-RU"/>
        </w:rPr>
        <w:t xml:space="preserve"> (Приложение № 1</w:t>
      </w:r>
      <w:r>
        <w:rPr>
          <w:b w:val="0"/>
          <w:sz w:val="24"/>
          <w:szCs w:val="24"/>
          <w:lang w:val="ru-RU"/>
        </w:rPr>
        <w:t xml:space="preserve">).</w:t>
      </w:r>
      <w:bookmarkEnd w:id="18"/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lang w:val="ru-RU"/>
        </w:rPr>
      </w:pPr>
      <w:r/>
      <w:bookmarkStart w:id="19" w:name="_Toc16113358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требований к эквивалентной продукции</w:t>
      </w:r>
      <w:bookmarkEnd w:id="19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57"/>
        <w:tblW w:w="100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092"/>
        <w:gridCol w:w="4252"/>
        <w:gridCol w:w="3015"/>
      </w:tblGrid>
      <w:tr>
        <w:tblPrEx/>
        <w:trPr>
          <w:trHeight w:val="88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09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01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18"/>
                <w:szCs w:val="18"/>
              </w:rPr>
              <w:t xml:space="preserve">1</w:t>
            </w:r>
            <w:r>
              <w:rPr>
                <w:b/>
                <w:bCs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sz w:val="12"/>
                <w:szCs w:val="12"/>
                <w:shd w:val="clear" w:color="auto" w:fill="ffff99"/>
              </w:rPr>
            </w:r>
          </w:p>
        </w:tc>
        <w:tc>
          <w:tcPr>
            <w:tcW w:w="209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18"/>
                <w:szCs w:val="18"/>
              </w:rPr>
              <w:t xml:space="preserve">2</w:t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18"/>
                <w:szCs w:val="18"/>
              </w:rPr>
              <w:t xml:space="preserve">3</w:t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</w:p>
        </w:tc>
        <w:tc>
          <w:tcPr>
            <w:tcW w:w="301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4</w:t>
            </w:r>
            <w:r>
              <w:rPr>
                <w:b/>
                <w:sz w:val="12"/>
                <w:szCs w:val="12"/>
              </w:rPr>
            </w:r>
            <w:r>
              <w:rPr>
                <w:b/>
                <w:sz w:val="12"/>
                <w:szCs w:val="12"/>
              </w:rPr>
            </w:r>
          </w:p>
        </w:tc>
      </w:tr>
      <w:tr>
        <w:tblPrEx/>
        <w:trPr>
          <w:trHeight w:val="319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9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0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Эквивалент </w:t>
            </w:r>
            <w:r>
              <w:rPr>
                <w:i w:val="0"/>
                <w:iCs w:val="0"/>
                <w:sz w:val="24"/>
                <w:szCs w:val="24"/>
              </w:rPr>
              <w:t xml:space="preserve">требуемой Заказчику продукции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0"/>
                <w:numId w:val="28"/>
              </w:numPr>
              <w:ind w:left="283" w:right="0" w:hanging="283"/>
              <w:jc w:val="both"/>
              <w:spacing w:before="0" w:beforeAutospacing="0" w:after="0" w:afterAutospacing="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i w:val="0"/>
                <w:iCs w:val="0"/>
                <w:sz w:val="24"/>
                <w:szCs w:val="24"/>
              </w:rPr>
              <w:t xml:space="preserve">Подробное описание </w:t>
            </w:r>
            <w:r>
              <w:rPr>
                <w:i w:val="0"/>
                <w:iCs w:val="0"/>
                <w:sz w:val="24"/>
                <w:szCs w:val="24"/>
              </w:rPr>
              <w:t xml:space="preserve">технических и функциональных</w:t>
            </w:r>
            <w:r>
              <w:rPr>
                <w:rFonts w:eastAsia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i w:val="0"/>
                <w:iCs w:val="0"/>
                <w:sz w:val="24"/>
                <w:szCs w:val="24"/>
              </w:rPr>
              <w:t xml:space="preserve">характеристик </w:t>
            </w:r>
            <w:r>
              <w:rPr>
                <w:rFonts w:eastAsia="Times New Roman" w:cs="Times New Roman"/>
                <w:i w:val="0"/>
                <w:iCs w:val="0"/>
                <w:sz w:val="24"/>
                <w:szCs w:val="24"/>
              </w:rPr>
              <w:t xml:space="preserve">предлагаемого эквивалента в соответствии с требованиями Таблицы 1.1  (Приложение №1 к настоящим Техническим требованиям) и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eastAsia="ru-RU"/>
              </w:rPr>
              <w:t xml:space="preserve">в объеме, не менее указанном в Таблице 1.1</w:t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.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pStyle w:val="1000"/>
              <w:numPr>
                <w:ilvl w:val="0"/>
                <w:numId w:val="28"/>
              </w:numPr>
              <w:ind w:left="283" w:right="0" w:hanging="283"/>
              <w:jc w:val="both"/>
              <w:spacing w:before="0" w:beforeAutospacing="0" w:after="0" w:afterAutospacing="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eastAsia="Times New Roman"/>
                <w:i w:val="0"/>
                <w:iCs w:val="0"/>
                <w:sz w:val="24"/>
                <w:szCs w:val="24"/>
              </w:rPr>
              <w:t xml:space="preserve">Эквивалент закупаемой продукции - это продукция, которая по техническим и функциональным характеристикам не уступает характеристикам, заявленным в документации, в том числе по гарантийным срокам.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</w:tc>
        <w:tc>
          <w:tcPr>
            <w:tcW w:w="3015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before="0" w:beforeAutospacing="0" w:after="0" w:afterAutospacing="0" w:line="240" w:lineRule="auto"/>
              <w:rPr>
                <w:bCs/>
                <w:i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u w:val="single"/>
              </w:rPr>
              <w:t xml:space="preserve">Способ </w:t>
            </w:r>
            <w:r>
              <w:rPr>
                <w:i w:val="0"/>
                <w:iCs w:val="0"/>
                <w:sz w:val="24"/>
                <w:szCs w:val="24"/>
                <w:u w:val="single"/>
              </w:rPr>
              <w:t xml:space="preserve">п</w:t>
            </w:r>
            <w:r>
              <w:rPr>
                <w:i w:val="0"/>
                <w:iCs w:val="0"/>
                <w:sz w:val="24"/>
                <w:szCs w:val="24"/>
                <w:u w:val="single"/>
              </w:rPr>
              <w:t xml:space="preserve">одтверждения: 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ind w:left="57"/>
              <w:jc w:val="center"/>
              <w:spacing w:before="0" w:beforeAutospacing="0" w:after="0" w:afterAutospacing="0" w:line="240" w:lineRule="auto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указание технических и функциональных характеристик</w:t>
            </w:r>
            <w:r>
              <w:rPr>
                <w:i/>
                <w:sz w:val="24"/>
                <w:szCs w:val="24"/>
              </w:rPr>
              <w:t xml:space="preserve"> предлагаемого эквивалента 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</w:tbl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  <w:lang w:val="ru-RU"/>
        </w:rPr>
      </w:pPr>
      <w:r/>
      <w:bookmarkStart w:id="20" w:name="_Toc126774101"/>
      <w:r/>
      <w:bookmarkStart w:id="21" w:name="_Toc16113358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20"/>
      <w:r/>
      <w:bookmarkEnd w:id="21"/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tbl>
      <w:tblPr>
        <w:tblStyle w:val="957"/>
        <w:tblW w:w="999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368"/>
        <w:gridCol w:w="3685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18"/>
                <w:szCs w:val="18"/>
                <w:shd w:val="clear" w:color="auto" w:fill="ffff99"/>
              </w:rPr>
            </w:pPr>
            <w:r>
              <w:rPr>
                <w:b/>
                <w:sz w:val="18"/>
                <w:szCs w:val="18"/>
              </w:rPr>
              <w:t xml:space="preserve">1</w:t>
            </w:r>
            <w:r>
              <w:rPr>
                <w:b/>
                <w:bCs/>
                <w:sz w:val="18"/>
                <w:szCs w:val="18"/>
                <w:shd w:val="clear" w:color="auto" w:fill="ffff99"/>
              </w:rPr>
            </w:r>
            <w:r>
              <w:rPr>
                <w:b/>
                <w:bCs/>
                <w:sz w:val="18"/>
                <w:szCs w:val="18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8"/>
                <w:szCs w:val="18"/>
                <w:shd w:val="clear" w:color="auto" w:fill="ffff99"/>
              </w:rPr>
            </w:pPr>
            <w:r>
              <w:rPr>
                <w:b/>
                <w:sz w:val="18"/>
                <w:szCs w:val="18"/>
              </w:rPr>
              <w:t xml:space="preserve">2</w:t>
            </w:r>
            <w:r>
              <w:rPr>
                <w:b/>
                <w:bCs/>
                <w:i/>
                <w:sz w:val="18"/>
                <w:szCs w:val="18"/>
                <w:shd w:val="clear" w:color="auto" w:fill="ffff99"/>
              </w:rPr>
            </w:r>
            <w:r>
              <w:rPr>
                <w:b/>
                <w:bCs/>
                <w:i/>
                <w:sz w:val="18"/>
                <w:szCs w:val="18"/>
                <w:shd w:val="clear" w:color="auto" w:fill="ffff99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8"/>
                <w:szCs w:val="18"/>
                <w:shd w:val="clear" w:color="auto" w:fill="ffff99"/>
              </w:rPr>
            </w:pPr>
            <w:r>
              <w:rPr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t xml:space="preserve">3</w:t>
            </w:r>
            <w:r>
              <w:rPr>
                <w:b/>
                <w:bCs/>
                <w:i/>
                <w:sz w:val="18"/>
                <w:szCs w:val="18"/>
                <w:shd w:val="clear" w:color="auto" w:fill="ffff99"/>
              </w:rPr>
            </w:r>
            <w:r>
              <w:rPr>
                <w:b/>
                <w:bCs/>
                <w:i/>
                <w:sz w:val="18"/>
                <w:szCs w:val="18"/>
                <w:shd w:val="clear" w:color="auto" w:fill="ffff99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trHeight w:val="368"/>
        </w:trPr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932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/>
      <w:bookmarkStart w:id="22" w:name="_Toc16113358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 Прочие (дополнительные) требования к продукции</w:t>
      </w:r>
      <w:bookmarkEnd w:id="22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57"/>
        <w:tblW w:w="100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09"/>
        <w:gridCol w:w="4394"/>
        <w:gridCol w:w="3113"/>
      </w:tblGrid>
      <w:tr>
        <w:tblPrEx/>
        <w:trPr>
          <w:trHeight w:val="88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1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18"/>
                <w:szCs w:val="18"/>
              </w:rPr>
              <w:t xml:space="preserve">1</w:t>
            </w:r>
            <w:r>
              <w:rPr>
                <w:b/>
                <w:bCs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sz w:val="12"/>
                <w:szCs w:val="12"/>
                <w:shd w:val="clear" w:color="auto" w:fill="ffff99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18"/>
                <w:szCs w:val="18"/>
              </w:rPr>
              <w:t xml:space="preserve">2</w:t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18"/>
                <w:szCs w:val="18"/>
              </w:rPr>
              <w:t xml:space="preserve">3</w:t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</w:p>
        </w:tc>
        <w:tc>
          <w:tcPr>
            <w:tcW w:w="311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4</w:t>
            </w:r>
            <w:r>
              <w:rPr>
                <w:b/>
                <w:sz w:val="12"/>
                <w:szCs w:val="12"/>
              </w:rPr>
            </w:r>
            <w:r>
              <w:rPr>
                <w:b/>
                <w:sz w:val="12"/>
                <w:szCs w:val="12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гарантии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</w:t>
            </w:r>
            <w:r>
              <w:rPr>
                <w:sz w:val="24"/>
                <w:szCs w:val="24"/>
              </w:rPr>
              <w:t xml:space="preserve">енадцать) календарных месяцев с даты подписания Покупателем (грузополучателем) товарной накладной по форме ТОРГ-12 (или УПД) и акта входного контроля, если больший срок не предусмотрен изготовителем.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Гарантия распространяется на всю поставляемую продукц</w:t>
            </w:r>
            <w:r>
              <w:rPr>
                <w:sz w:val="24"/>
                <w:szCs w:val="24"/>
              </w:rPr>
              <w:t xml:space="preserve">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u w:val="single"/>
              </w:rPr>
              <w:t xml:space="preserve">Способ подтверждения: </w:t>
            </w:r>
            <w:r>
              <w:rPr>
                <w:i/>
                <w:iCs/>
                <w:sz w:val="24"/>
                <w:szCs w:val="24"/>
              </w:rPr>
              <w:t xml:space="preserve">указание срока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0" w:beforeAutospacing="0" w:after="0" w:afterAutospacing="0" w:line="240" w:lineRule="auto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6"/>
        <w:spacing w:before="0" w:beforeAutospacing="0" w:after="0" w:afterAutospacing="0" w:line="240" w:lineRule="auto"/>
        <w:rPr>
          <w:lang w:val="ru-RU"/>
        </w:rPr>
      </w:pPr>
      <w:r/>
      <w:bookmarkStart w:id="23" w:name="_Toc51339696"/>
      <w:r/>
      <w:bookmarkStart w:id="24" w:name="_Toc161133584"/>
      <w:r>
        <w:rPr>
          <w:lang w:val="ru-RU"/>
        </w:rPr>
        <w:t xml:space="preserve">Требования </w:t>
      </w:r>
      <w:bookmarkEnd w:id="23"/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bookmarkEnd w:id="24"/>
      <w:r>
        <w:rPr>
          <w:lang w:val="ru-RU"/>
        </w:rPr>
      </w:r>
      <w:r>
        <w:rPr>
          <w:lang w:val="ru-RU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lang w:val="ru-RU"/>
        </w:rPr>
      </w:pPr>
      <w:r/>
      <w:bookmarkStart w:id="25" w:name="_Toc50125127"/>
      <w:r/>
      <w:bookmarkStart w:id="26" w:name="_Toc51339697"/>
      <w:r/>
      <w:bookmarkStart w:id="27" w:name="_Toc161133585"/>
      <w:r/>
      <w:bookmarkEnd w:id="1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8" w:name="_Hlk50465284"/>
      <w:r>
        <w:rPr>
          <w:sz w:val="24"/>
          <w:szCs w:val="24"/>
        </w:rPr>
        <w:t xml:space="preserve">Требования по срокам </w:t>
      </w:r>
      <w:bookmarkEnd w:id="25"/>
      <w:r/>
      <w:bookmarkEnd w:id="26"/>
      <w:r/>
      <w:bookmarkEnd w:id="28"/>
      <w:r>
        <w:rPr>
          <w:sz w:val="24"/>
          <w:szCs w:val="24"/>
          <w:lang w:val="ru-RU"/>
        </w:rPr>
        <w:t xml:space="preserve">поставки продукции</w:t>
      </w:r>
      <w:bookmarkEnd w:id="27"/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292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834"/>
        <w:gridCol w:w="2943"/>
        <w:gridCol w:w="2943"/>
      </w:tblGrid>
      <w:tr>
        <w:tblPrEx/>
        <w:trPr/>
        <w:tc>
          <w:tcPr>
            <w:shd w:val="clear" w:color="auto" w:fill="auto"/>
            <w:tcW w:w="572" w:type="dxa"/>
            <w:vAlign w:val="center"/>
            <w:textDirection w:val="lrTb"/>
            <w:noWrap w:val="false"/>
          </w:tcPr>
          <w:p>
            <w:pPr>
              <w:ind w:left="0" w:right="0"/>
              <w:jc w:val="center"/>
              <w:spacing w:before="0" w:beforeAutospacing="0" w:after="0" w:afterAutospacing="0" w:line="240" w:lineRule="auto"/>
              <w:rPr>
                <w:b/>
                <w:bCs/>
                <w:sz w:val="24"/>
                <w:szCs w:val="24"/>
              </w:rPr>
              <w:suppressLineNumbers w:val="0"/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3834" w:type="dxa"/>
            <w:vAlign w:val="center"/>
            <w:textDirection w:val="lrTb"/>
            <w:noWrap w:val="false"/>
          </w:tcPr>
          <w:p>
            <w:pPr>
              <w:ind w:left="0" w:right="0"/>
              <w:jc w:val="center"/>
              <w:spacing w:before="0" w:beforeAutospacing="0" w:after="0" w:afterAutospacing="0" w:line="240" w:lineRule="auto"/>
              <w:rPr>
                <w:b/>
                <w:bCs/>
                <w:sz w:val="24"/>
                <w:szCs w:val="24"/>
              </w:rPr>
              <w:suppressLineNumbers w:val="0"/>
            </w:pPr>
            <w:r>
              <w:rPr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</w:rPr>
              <w:t xml:space="preserve">продукции / партии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3" w:type="dxa"/>
            <w:vAlign w:val="center"/>
            <w:textDirection w:val="lrTb"/>
            <w:noWrap w:val="false"/>
          </w:tcPr>
          <w:p>
            <w:pPr>
              <w:ind w:left="0" w:right="0"/>
              <w:jc w:val="center"/>
              <w:spacing w:before="0" w:beforeAutospacing="0" w:after="0" w:afterAutospacing="0" w:line="240" w:lineRule="auto"/>
              <w:rPr>
                <w:b/>
                <w:bCs/>
                <w:sz w:val="24"/>
                <w:szCs w:val="24"/>
              </w:rPr>
              <w:suppressLineNumbers w:val="0"/>
            </w:pPr>
            <w:r>
              <w:rPr>
                <w:b/>
                <w:bCs/>
                <w:sz w:val="24"/>
                <w:szCs w:val="24"/>
              </w:rPr>
              <w:t xml:space="preserve">Требования к началу срока </w:t>
            </w:r>
            <w:r>
              <w:rPr>
                <w:b/>
                <w:bCs/>
                <w:sz w:val="24"/>
                <w:szCs w:val="24"/>
              </w:rPr>
              <w:t xml:space="preserve">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3" w:type="dxa"/>
            <w:vAlign w:val="center"/>
            <w:textDirection w:val="lrTb"/>
            <w:noWrap w:val="false"/>
          </w:tcPr>
          <w:p>
            <w:pPr>
              <w:ind w:left="0" w:right="0"/>
              <w:jc w:val="center"/>
              <w:spacing w:before="0" w:beforeAutospacing="0" w:after="0" w:afterAutospacing="0" w:line="240" w:lineRule="auto"/>
              <w:rPr>
                <w:b/>
                <w:bCs/>
                <w:sz w:val="24"/>
                <w:szCs w:val="24"/>
              </w:rPr>
              <w:suppressLineNumbers w:val="0"/>
            </w:pPr>
            <w:r>
              <w:rPr>
                <w:b/>
                <w:bCs/>
                <w:sz w:val="24"/>
                <w:szCs w:val="24"/>
              </w:rPr>
              <w:t xml:space="preserve">Требования к окончанию срока </w:t>
            </w:r>
            <w:r>
              <w:rPr>
                <w:b/>
                <w:bCs/>
                <w:sz w:val="24"/>
                <w:szCs w:val="24"/>
              </w:rPr>
              <w:t xml:space="preserve">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572" w:type="dxa"/>
            <w:vAlign w:val="center"/>
            <w:textDirection w:val="lrTb"/>
            <w:noWrap w:val="false"/>
          </w:tcPr>
          <w:p>
            <w:pPr>
              <w:ind w:left="0" w:right="0"/>
              <w:jc w:val="center"/>
              <w:spacing w:before="0" w:beforeAutospacing="0" w:after="0" w:afterAutospacing="0" w:line="240" w:lineRule="auto"/>
              <w:rPr>
                <w:b/>
                <w:bCs/>
                <w:sz w:val="12"/>
                <w:szCs w:val="12"/>
              </w:rPr>
              <w:suppressLineNumbers w:val="0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  <w:r>
              <w:rPr>
                <w:b/>
                <w:bCs/>
                <w:sz w:val="12"/>
                <w:szCs w:val="12"/>
              </w:rPr>
            </w:r>
            <w:r>
              <w:rPr>
                <w:b/>
                <w:bCs/>
                <w:sz w:val="12"/>
                <w:szCs w:val="12"/>
              </w:rPr>
            </w:r>
          </w:p>
        </w:tc>
        <w:tc>
          <w:tcPr>
            <w:shd w:val="clear" w:color="auto" w:fill="auto"/>
            <w:tcW w:w="3834" w:type="dxa"/>
            <w:vAlign w:val="center"/>
            <w:textDirection w:val="lrTb"/>
            <w:noWrap w:val="false"/>
          </w:tcPr>
          <w:p>
            <w:pPr>
              <w:ind w:left="0" w:right="0"/>
              <w:jc w:val="center"/>
              <w:spacing w:before="0" w:beforeAutospacing="0" w:after="0" w:afterAutospacing="0" w:line="240" w:lineRule="auto"/>
              <w:rPr>
                <w:b/>
                <w:bCs/>
                <w:sz w:val="12"/>
                <w:szCs w:val="12"/>
              </w:rPr>
              <w:suppressLineNumbers w:val="0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  <w:r>
              <w:rPr>
                <w:b/>
                <w:bCs/>
                <w:sz w:val="12"/>
                <w:szCs w:val="12"/>
              </w:rPr>
            </w:r>
            <w:r>
              <w:rPr>
                <w:b/>
                <w:bCs/>
                <w:sz w:val="12"/>
                <w:szCs w:val="12"/>
              </w:rPr>
            </w:r>
          </w:p>
        </w:tc>
        <w:tc>
          <w:tcPr>
            <w:tcW w:w="2943" w:type="dxa"/>
            <w:vAlign w:val="center"/>
            <w:textDirection w:val="lrTb"/>
            <w:noWrap w:val="false"/>
          </w:tcPr>
          <w:p>
            <w:pPr>
              <w:pStyle w:val="1029"/>
              <w:ind w:left="0" w:right="0"/>
              <w:jc w:val="center"/>
              <w:keepNext w:val="0"/>
              <w:spacing w:before="0" w:beforeAutospacing="0" w:after="0" w:afterAutospacing="0" w:line="240" w:lineRule="auto"/>
              <w:rPr>
                <w:b/>
                <w:bCs/>
                <w:sz w:val="12"/>
                <w:szCs w:val="12"/>
              </w:rPr>
              <w:suppressLineNumbers w:val="0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  <w:r>
              <w:rPr>
                <w:b/>
                <w:bCs/>
                <w:sz w:val="12"/>
                <w:szCs w:val="12"/>
              </w:rPr>
            </w:r>
            <w:r>
              <w:rPr>
                <w:b/>
                <w:bCs/>
                <w:sz w:val="12"/>
                <w:szCs w:val="12"/>
              </w:rPr>
            </w:r>
          </w:p>
        </w:tc>
        <w:tc>
          <w:tcPr>
            <w:tcW w:w="2943" w:type="dxa"/>
            <w:vAlign w:val="center"/>
            <w:textDirection w:val="lrTb"/>
            <w:noWrap w:val="false"/>
          </w:tcPr>
          <w:p>
            <w:pPr>
              <w:pStyle w:val="1029"/>
              <w:ind w:left="0" w:right="0"/>
              <w:jc w:val="center"/>
              <w:keepNext w:val="0"/>
              <w:spacing w:before="0" w:beforeAutospacing="0" w:after="0" w:afterAutospacing="0" w:line="240" w:lineRule="auto"/>
              <w:rPr>
                <w:b/>
                <w:bCs/>
                <w:sz w:val="12"/>
                <w:szCs w:val="12"/>
              </w:rPr>
              <w:suppressLineNumbers w:val="0"/>
            </w:pPr>
            <w:r>
              <w:rPr>
                <w:b/>
                <w:bCs/>
                <w:sz w:val="18"/>
                <w:szCs w:val="18"/>
              </w:rPr>
              <w:t xml:space="preserve">4</w:t>
            </w:r>
            <w:r>
              <w:rPr>
                <w:b/>
                <w:bCs/>
                <w:sz w:val="12"/>
                <w:szCs w:val="12"/>
              </w:rPr>
            </w:r>
            <w:r>
              <w:rPr>
                <w:b/>
                <w:bCs/>
                <w:sz w:val="12"/>
                <w:szCs w:val="12"/>
              </w:rPr>
            </w:r>
          </w:p>
        </w:tc>
      </w:tr>
      <w:tr>
        <w:tblPrEx/>
        <w:trPr>
          <w:trHeight w:val="45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2" w:type="dxa"/>
            <w:vAlign w:val="center"/>
            <w:textDirection w:val="lrTb"/>
            <w:noWrap w:val="false"/>
          </w:tcPr>
          <w:p>
            <w:pPr>
              <w:ind w:left="0" w:right="0"/>
              <w:jc w:val="center"/>
              <w:spacing w:before="0" w:beforeAutospacing="0" w:after="0" w:afterAutospacing="0" w:line="240" w:lineRule="auto"/>
              <w:rPr>
                <w:b/>
                <w:sz w:val="24"/>
                <w:szCs w:val="24"/>
                <w:highlight w:val="none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1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34" w:type="dxa"/>
            <w:vAlign w:val="center"/>
            <w:textDirection w:val="lrTb"/>
            <w:noWrap w:val="false"/>
          </w:tcPr>
          <w:p>
            <w:pPr>
              <w:ind w:left="0" w:right="0"/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ОКПД2: 31.01.1 Поставка мебели офисной для нужд структурных подразделений АО  ДГК , Хабаровского края, Приморского края,  Амурская обл., Республика Саха Якутия, ЕАО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pStyle w:val="1029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получения заявки от Покупателя в течение 2026года.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29"/>
              <w:ind w:left="0" w:right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pStyle w:val="1029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в течение 90 </w:t>
            </w:r>
            <w:r>
              <w:rPr>
                <w:sz w:val="24"/>
                <w:szCs w:val="24"/>
              </w:rPr>
              <w:t xml:space="preserve">календарных дней с даты получения заявки от Покупателя</w:t>
            </w:r>
            <w:r>
              <w:rPr>
                <w:sz w:val="24"/>
                <w:szCs w:val="24"/>
              </w:rPr>
              <w:t xml:space="preserve"> в течение 2026года.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029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029"/>
              <w:ind w:left="0" w:right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Таблица 2.2 </w:t>
      </w:r>
      <w:r>
        <w:rPr>
          <w:sz w:val="24"/>
          <w:szCs w:val="24"/>
        </w:rPr>
        <w:t xml:space="preserve">Требования по срокам оказания сопутствующих услуг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10381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978"/>
        <w:gridCol w:w="2742"/>
        <w:gridCol w:w="3135"/>
        <w:gridCol w:w="1809"/>
      </w:tblGrid>
      <w:tr>
        <w:tblPrEx/>
        <w:trPr>
          <w:trHeight w:val="584"/>
        </w:trPr>
        <w:tc>
          <w:tcPr>
            <w:shd w:val="clear" w:color="ffffff" w:fill="ffffff"/>
            <w:tcW w:w="71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197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42" w:type="dxa"/>
            <w:vAlign w:val="center"/>
            <w:textDirection w:val="lrTb"/>
            <w:noWrap w:val="false"/>
          </w:tcPr>
          <w:p>
            <w:pPr>
              <w:pStyle w:val="1029"/>
              <w:jc w:val="center"/>
              <w:keepNext w:val="0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3135" w:type="dxa"/>
            <w:vAlign w:val="center"/>
            <w:textDirection w:val="lrTb"/>
            <w:noWrap w:val="false"/>
          </w:tcPr>
          <w:p>
            <w:pPr>
              <w:pStyle w:val="1029"/>
              <w:jc w:val="center"/>
              <w:keepNext w:val="0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pStyle w:val="1029"/>
              <w:jc w:val="center"/>
              <w:keepNext w:val="0"/>
              <w:spacing w:before="0" w:beforeAutospacing="0" w:after="0" w:afterAutospacing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Примечание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W w:w="71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  <w:r>
              <w:rPr>
                <w:b/>
                <w:bCs/>
                <w:sz w:val="12"/>
                <w:szCs w:val="12"/>
              </w:rPr>
            </w:r>
            <w:r>
              <w:rPr>
                <w:b/>
                <w:bCs/>
                <w:sz w:val="12"/>
                <w:szCs w:val="12"/>
              </w:rPr>
            </w:r>
          </w:p>
        </w:tc>
        <w:tc>
          <w:tcPr>
            <w:shd w:val="clear" w:color="ffffff" w:fill="ffffff"/>
            <w:tcW w:w="197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  <w:r>
              <w:rPr>
                <w:b/>
                <w:bCs/>
                <w:sz w:val="12"/>
                <w:szCs w:val="12"/>
              </w:rPr>
            </w:r>
            <w:r>
              <w:rPr>
                <w:b/>
                <w:bCs/>
                <w:sz w:val="12"/>
                <w:szCs w:val="12"/>
              </w:rPr>
            </w:r>
          </w:p>
        </w:tc>
        <w:tc>
          <w:tcPr>
            <w:tcW w:w="2742" w:type="dxa"/>
            <w:vAlign w:val="center"/>
            <w:textDirection w:val="lrTb"/>
            <w:noWrap w:val="false"/>
          </w:tcPr>
          <w:p>
            <w:pPr>
              <w:pStyle w:val="1029"/>
              <w:jc w:val="center"/>
              <w:keepNext w:val="0"/>
              <w:spacing w:before="0" w:beforeAutospacing="0" w:after="0" w:afterAutospacing="0" w:line="240" w:lineRule="auto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  <w:r>
              <w:rPr>
                <w:b/>
                <w:bCs/>
                <w:sz w:val="12"/>
                <w:szCs w:val="12"/>
              </w:rPr>
            </w:r>
            <w:r>
              <w:rPr>
                <w:b/>
                <w:bCs/>
                <w:sz w:val="12"/>
                <w:szCs w:val="12"/>
              </w:rPr>
            </w:r>
          </w:p>
        </w:tc>
        <w:tc>
          <w:tcPr>
            <w:shd w:val="clear" w:color="ffffff" w:fill="ffffff"/>
            <w:tcW w:w="3135" w:type="dxa"/>
            <w:vAlign w:val="center"/>
            <w:textDirection w:val="lrTb"/>
            <w:noWrap w:val="false"/>
          </w:tcPr>
          <w:p>
            <w:pPr>
              <w:pStyle w:val="1029"/>
              <w:jc w:val="center"/>
              <w:keepNext w:val="0"/>
              <w:spacing w:before="0" w:beforeAutospacing="0" w:after="0" w:afterAutospacing="0" w:line="240" w:lineRule="auto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8"/>
                <w:szCs w:val="18"/>
              </w:rPr>
              <w:t xml:space="preserve">4</w:t>
            </w:r>
            <w:r>
              <w:rPr>
                <w:b/>
                <w:bCs/>
                <w:sz w:val="12"/>
                <w:szCs w:val="12"/>
              </w:rPr>
            </w:r>
            <w:r>
              <w:rPr>
                <w:b/>
                <w:bCs/>
                <w:sz w:val="12"/>
                <w:szCs w:val="12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pStyle w:val="1029"/>
              <w:jc w:val="center"/>
              <w:keepNext w:val="0"/>
              <w:spacing w:before="0" w:beforeAutospacing="0" w:after="0" w:afterAutospacing="0" w:line="240" w:lineRule="auto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8"/>
                <w:szCs w:val="18"/>
              </w:rPr>
              <w:t xml:space="preserve">5</w:t>
            </w:r>
            <w:r>
              <w:rPr>
                <w:b/>
                <w:bCs/>
                <w:sz w:val="12"/>
                <w:szCs w:val="12"/>
              </w:rPr>
            </w:r>
            <w:r>
              <w:rPr>
                <w:b/>
                <w:bCs/>
                <w:sz w:val="12"/>
                <w:szCs w:val="12"/>
              </w:rPr>
            </w:r>
          </w:p>
        </w:tc>
      </w:tr>
      <w:tr>
        <w:tblPrEx/>
        <w:trPr>
          <w:trHeight w:val="523"/>
        </w:trPr>
        <w:tc>
          <w:tcPr>
            <w:shd w:val="clear" w:color="ffffff" w:fill="ffffff"/>
            <w:tcW w:w="71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W w:w="966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4"/>
        <w:numPr>
          <w:ilvl w:val="0"/>
          <w:numId w:val="0"/>
        </w:numPr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 Требования к документации по ценообразованию на этапе закупки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57"/>
        <w:tblW w:w="10313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675"/>
        <w:gridCol w:w="2409"/>
        <w:gridCol w:w="2409"/>
        <w:gridCol w:w="4819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</w:t>
            </w:r>
            <w:r>
              <w:rPr>
                <w:b/>
                <w:bCs/>
                <w:sz w:val="24"/>
                <w:szCs w:val="24"/>
              </w:rPr>
              <w:t xml:space="preserve">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18"/>
                <w:szCs w:val="18"/>
                <w:shd w:val="clear" w:color="auto" w:fill="ffff99"/>
              </w:rPr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  <w:r>
              <w:rPr>
                <w:b/>
                <w:bCs/>
                <w:sz w:val="18"/>
                <w:szCs w:val="18"/>
                <w:shd w:val="clear" w:color="auto" w:fill="ffff99"/>
              </w:rPr>
            </w:r>
            <w:r>
              <w:rPr>
                <w:b/>
                <w:bCs/>
                <w:sz w:val="18"/>
                <w:szCs w:val="18"/>
                <w:shd w:val="clear" w:color="auto" w:fill="ffff99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8"/>
                <w:szCs w:val="18"/>
                <w:shd w:val="clear" w:color="auto" w:fill="ffff99"/>
              </w:rPr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  <w:r>
              <w:rPr>
                <w:b/>
                <w:bCs/>
                <w:i/>
                <w:sz w:val="18"/>
                <w:szCs w:val="18"/>
                <w:shd w:val="clear" w:color="auto" w:fill="ffff99"/>
              </w:rPr>
            </w:r>
            <w:r>
              <w:rPr>
                <w:b/>
                <w:bCs/>
                <w:i/>
                <w:sz w:val="18"/>
                <w:szCs w:val="18"/>
                <w:shd w:val="clear" w:color="auto" w:fill="ffff99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8"/>
                <w:szCs w:val="18"/>
                <w:shd w:val="clear" w:color="auto" w:fill="ffff99"/>
              </w:rPr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  <w:r>
              <w:rPr>
                <w:b/>
                <w:bCs/>
                <w:i/>
                <w:sz w:val="18"/>
                <w:szCs w:val="18"/>
                <w:shd w:val="clear" w:color="auto" w:fill="ffff99"/>
              </w:rPr>
            </w:r>
            <w:r>
              <w:rPr>
                <w:b/>
                <w:bCs/>
                <w:i/>
                <w:sz w:val="18"/>
                <w:szCs w:val="18"/>
                <w:shd w:val="clear" w:color="auto" w:fill="ffff99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963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</w:tr>
    </w:tbl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4"/>
        <w:numPr>
          <w:ilvl w:val="0"/>
          <w:numId w:val="0"/>
        </w:numPr>
        <w:jc w:val="both"/>
        <w:spacing w:before="0" w:beforeAutospacing="0" w:after="0" w:afterAutospacing="0" w:line="240" w:lineRule="auto"/>
        <w:rPr>
          <w:sz w:val="24"/>
          <w:szCs w:val="24"/>
        </w:rPr>
      </w:pPr>
      <w:r/>
      <w:bookmarkStart w:id="0" w:name="undefined"/>
      <w:r>
        <w:rPr>
          <w:sz w:val="24"/>
          <w:szCs w:val="24"/>
        </w:rPr>
        <w:t xml:space="preserve">4. Требования к документации по ценообразованию на этапе заключения</w:t>
      </w:r>
      <w:bookmarkEnd w:id="0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(исполнения) договора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57"/>
        <w:tblW w:w="0" w:type="auto"/>
        <w:tblInd w:w="-175" w:type="dxa"/>
        <w:tblLayout w:type="fixed"/>
        <w:tblLook w:val="04A0" w:firstRow="1" w:lastRow="0" w:firstColumn="1" w:lastColumn="0" w:noHBand="0" w:noVBand="1"/>
      </w:tblPr>
      <w:tblGrid>
        <w:gridCol w:w="675"/>
        <w:gridCol w:w="2409"/>
        <w:gridCol w:w="2409"/>
        <w:gridCol w:w="4819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sz w:val="18"/>
                <w:szCs w:val="18"/>
                <w:shd w:val="clear" w:color="auto" w:fill="ffff99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bCs/>
                <w:sz w:val="18"/>
                <w:szCs w:val="18"/>
                <w:shd w:val="clear" w:color="auto" w:fill="ffff99"/>
              </w:rPr>
            </w:r>
            <w:r>
              <w:rPr>
                <w:bCs/>
                <w:sz w:val="18"/>
                <w:szCs w:val="18"/>
                <w:shd w:val="clear" w:color="auto" w:fill="ffff99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18"/>
                <w:szCs w:val="18"/>
                <w:shd w:val="clear" w:color="auto" w:fill="ffff99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bCs/>
                <w:i/>
                <w:sz w:val="18"/>
                <w:szCs w:val="18"/>
                <w:shd w:val="clear" w:color="auto" w:fill="ffff99"/>
              </w:rPr>
            </w:r>
            <w:r>
              <w:rPr>
                <w:bCs/>
                <w:i/>
                <w:sz w:val="18"/>
                <w:szCs w:val="18"/>
                <w:shd w:val="clear" w:color="auto" w:fill="ffff99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18"/>
                <w:szCs w:val="18"/>
                <w:shd w:val="clear" w:color="auto" w:fill="ffff99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bCs/>
                <w:i/>
                <w:sz w:val="18"/>
                <w:szCs w:val="18"/>
                <w:shd w:val="clear" w:color="auto" w:fill="ffff99"/>
              </w:rPr>
            </w:r>
            <w:r>
              <w:rPr>
                <w:bCs/>
                <w:i/>
                <w:sz w:val="18"/>
                <w:szCs w:val="18"/>
                <w:shd w:val="clear" w:color="auto" w:fill="ffff99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57"/>
        </w:trPr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9638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</w:tr>
    </w:tbl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before="0" w:beforeAutospacing="0" w:after="0" w:afterAutospacing="0" w:line="240" w:lineRule="auto"/>
      </w:pPr>
      <w:r/>
      <w:r/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4"/>
        <w:numPr>
          <w:ilvl w:val="0"/>
          <w:numId w:val="0"/>
        </w:numPr>
        <w:ind w:left="357"/>
        <w:keepLines/>
        <w:spacing w:before="0" w:beforeAutospacing="0" w:after="0" w:afterAutospacing="0" w:line="240" w:lineRule="auto"/>
        <w:rPr>
          <w:b w:val="0"/>
          <w:bCs w:val="0"/>
          <w:iCs/>
          <w:sz w:val="24"/>
          <w:szCs w:val="24"/>
          <w:lang w:val="ru-RU"/>
        </w:rPr>
        <w:sectPr>
          <w:footnotePr/>
          <w:endnotePr/>
          <w:type w:val="nextPage"/>
          <w:pgSz w:w="11906" w:h="16838" w:orient="portrait"/>
          <w:pgMar w:top="851" w:right="851" w:bottom="709" w:left="1134" w:header="709" w:footer="709" w:gutter="0"/>
          <w:cols w:num="1" w:sep="0" w:space="708" w:equalWidth="1"/>
          <w:docGrid w:linePitch="360"/>
          <w:titlePg/>
        </w:sectPr>
      </w:pPr>
      <w:r>
        <w:rPr>
          <w:b w:val="0"/>
          <w:iCs/>
          <w:sz w:val="24"/>
          <w:szCs w:val="24"/>
          <w:lang w:val="ru-RU"/>
        </w:rPr>
      </w:r>
      <w:r>
        <w:rPr>
          <w:b w:val="0"/>
          <w:bCs w:val="0"/>
          <w:iCs/>
          <w:sz w:val="24"/>
          <w:szCs w:val="24"/>
          <w:lang w:val="ru-RU"/>
        </w:rPr>
      </w:r>
      <w:r>
        <w:rPr>
          <w:b w:val="0"/>
          <w:bCs w:val="0"/>
          <w:iCs/>
          <w:sz w:val="24"/>
          <w:szCs w:val="24"/>
          <w:lang w:val="ru-RU"/>
        </w:rPr>
      </w:r>
    </w:p>
    <w:p>
      <w:pPr>
        <w:pStyle w:val="934"/>
        <w:numPr>
          <w:ilvl w:val="0"/>
          <w:numId w:val="0"/>
        </w:numPr>
        <w:keepLines/>
        <w:spacing w:before="0" w:beforeAutospacing="0" w:after="0" w:afterAutospacing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Таблица 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. Прочие (дополнительные) требования к продукции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57"/>
        <w:tblW w:w="15686" w:type="dxa"/>
        <w:jc w:val="center"/>
        <w:tblInd w:w="-4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4434"/>
        <w:gridCol w:w="3402"/>
        <w:gridCol w:w="1701"/>
        <w:gridCol w:w="3260"/>
        <w:gridCol w:w="2038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suppressLineNumbers w:val="0"/>
            </w:pPr>
            <w:r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</w:p>
        </w:tc>
        <w:tc>
          <w:tcPr>
            <w:tcW w:w="443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suppressLineNumbers w:val="0"/>
            </w:pPr>
            <w:r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suppressLineNumbers w:val="0"/>
            </w:pPr>
            <w:r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</w:p>
        </w:tc>
        <w:tc>
          <w:tcPr>
            <w:gridSpan w:val="2"/>
            <w:tcW w:w="496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suppressLineNumbers w:val="0"/>
            </w:pPr>
            <w:r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</w:p>
        </w:tc>
        <w:tc>
          <w:tcPr>
            <w:tcW w:w="2038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bCs/>
                <w:i w:val="0"/>
                <w:iCs w:val="0"/>
                <w:color w:val="auto"/>
                <w:sz w:val="22"/>
                <w:szCs w:val="22"/>
              </w:rPr>
              <w:suppressLineNumbers w:val="0"/>
            </w:pPr>
            <w:r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2"/>
                <w:szCs w:val="22"/>
              </w:rPr>
            </w:r>
            <w:r>
              <w:rPr>
                <w:b/>
                <w:bCs/>
                <w:i w:val="0"/>
                <w:iCs w:val="0"/>
                <w:color w:val="auto"/>
                <w:sz w:val="22"/>
                <w:szCs w:val="22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43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suppressLineNumbers w:val="0"/>
            </w:pPr>
            <w:r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suppressLineNumbers w:val="0"/>
            </w:pPr>
            <w:r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  <w:r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r>
          </w:p>
        </w:tc>
        <w:tc>
          <w:tcPr>
            <w:tcW w:w="203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Cs w:val="0"/>
                <w:i w:val="0"/>
                <w:color w:val="auto"/>
                <w:sz w:val="10"/>
                <w:szCs w:val="10"/>
              </w:rPr>
              <w:suppressLineNumbers w:val="0"/>
            </w:pPr>
            <w:r>
              <w:rPr>
                <w:b/>
                <w:i w:val="0"/>
                <w:iCs w:val="0"/>
                <w:color w:val="auto"/>
                <w:sz w:val="16"/>
                <w:szCs w:val="16"/>
              </w:rPr>
              <w:t xml:space="preserve">1</w:t>
            </w:r>
            <w:r>
              <w:rPr>
                <w:bCs w:val="0"/>
                <w:i w:val="0"/>
                <w:color w:val="auto"/>
                <w:sz w:val="10"/>
                <w:szCs w:val="10"/>
              </w:rPr>
            </w:r>
            <w:r>
              <w:rPr>
                <w:bCs w:val="0"/>
                <w:i w:val="0"/>
                <w:color w:val="auto"/>
                <w:sz w:val="10"/>
                <w:szCs w:val="10"/>
              </w:rPr>
            </w:r>
          </w:p>
        </w:tc>
        <w:tc>
          <w:tcPr>
            <w:tcW w:w="4434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i w:val="0"/>
                <w:iCs w:val="0"/>
                <w:color w:val="auto"/>
                <w:sz w:val="10"/>
                <w:szCs w:val="10"/>
              </w:rPr>
              <w:suppressLineNumbers w:val="0"/>
            </w:pPr>
            <w:r>
              <w:rPr>
                <w:b/>
                <w:i w:val="0"/>
                <w:iCs w:val="0"/>
                <w:color w:val="auto"/>
                <w:sz w:val="16"/>
                <w:szCs w:val="16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i w:val="0"/>
                <w:iCs w:val="0"/>
                <w:color w:val="auto"/>
                <w:sz w:val="10"/>
                <w:szCs w:val="10"/>
              </w:rPr>
              <w:suppressLineNumbers w:val="0"/>
            </w:pPr>
            <w:r>
              <w:rPr>
                <w:b/>
                <w:i w:val="0"/>
                <w:iCs w:val="0"/>
                <w:color w:val="auto"/>
                <w:sz w:val="16"/>
                <w:szCs w:val="16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i w:val="0"/>
                <w:iCs w:val="0"/>
                <w:color w:val="auto"/>
                <w:sz w:val="10"/>
                <w:szCs w:val="10"/>
              </w:rPr>
              <w:suppressLineNumbers w:val="0"/>
            </w:pPr>
            <w:r>
              <w:rPr>
                <w:b/>
                <w:i w:val="0"/>
                <w:iCs w:val="0"/>
                <w:color w:val="auto"/>
                <w:sz w:val="16"/>
                <w:szCs w:val="16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i w:val="0"/>
                <w:iCs w:val="0"/>
                <w:color w:val="auto"/>
                <w:sz w:val="10"/>
                <w:szCs w:val="10"/>
              </w:rPr>
              <w:suppressLineNumbers w:val="0"/>
            </w:pPr>
            <w:r>
              <w:rPr>
                <w:b/>
                <w:i w:val="0"/>
                <w:iCs w:val="0"/>
                <w:color w:val="auto"/>
                <w:sz w:val="16"/>
                <w:szCs w:val="16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</w:p>
        </w:tc>
        <w:tc>
          <w:tcPr>
            <w:tcW w:w="2038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/>
                <w:i w:val="0"/>
                <w:iCs w:val="0"/>
                <w:color w:val="auto"/>
                <w:sz w:val="10"/>
                <w:szCs w:val="10"/>
              </w:rPr>
              <w:suppressLineNumbers w:val="0"/>
            </w:pPr>
            <w:r>
              <w:rPr>
                <w:b/>
                <w:i w:val="0"/>
                <w:iCs w:val="0"/>
                <w:color w:val="auto"/>
                <w:sz w:val="16"/>
                <w:szCs w:val="16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  <w:r>
              <w:rPr>
                <w:b/>
                <w:i w:val="0"/>
                <w:iCs w:val="0"/>
                <w:color w:val="auto"/>
                <w:sz w:val="10"/>
                <w:szCs w:val="10"/>
              </w:rPr>
            </w:r>
          </w:p>
        </w:tc>
      </w:tr>
      <w:tr>
        <w:tblPrEx/>
        <w:trPr>
          <w:trHeight w:val="255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i w:val="0"/>
                <w:iCs w:val="0"/>
                <w:sz w:val="20"/>
                <w:szCs w:val="20"/>
              </w:rPr>
              <w:suppressLineNumbers w:val="0"/>
            </w:pPr>
            <w:r>
              <w:rPr>
                <w:i w:val="0"/>
                <w:iCs w:val="0"/>
                <w:sz w:val="20"/>
                <w:szCs w:val="20"/>
              </w:rPr>
              <w:t xml:space="preserve">   1</w:t>
            </w:r>
            <w:r>
              <w:rPr>
                <w:i w:val="0"/>
                <w:iCs w:val="0"/>
                <w:sz w:val="20"/>
                <w:szCs w:val="20"/>
              </w:rPr>
            </w:r>
            <w:r>
              <w:rPr>
                <w:i w:val="0"/>
                <w:iCs w:val="0"/>
                <w:sz w:val="20"/>
                <w:szCs w:val="20"/>
              </w:rPr>
            </w:r>
          </w:p>
        </w:tc>
        <w:tc>
          <w:tcPr>
            <w:tcW w:w="4434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keepLines/>
              <w:keepNext/>
              <w:widowControl/>
              <w:rPr>
                <w:b w:val="0"/>
                <w:bCs w:val="0"/>
                <w:i w:val="0"/>
                <w:sz w:val="20"/>
                <w:szCs w:val="20"/>
              </w:rPr>
              <w:suppressLineNumbers w:val="0"/>
            </w:pPr>
            <w:r>
              <w:rPr>
                <w:rFonts w:hint="cs"/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По позициям № № 1-5, 7-87, 89- 157, 159- 205, 207-234, 236- 253, 255- 263, 265- 276, 278, 280- 295, 297- 319, 321, 323 - 346, 348- 427 </w:t>
            </w:r>
            <w:r>
              <w:rPr>
                <w:rFonts w:hint="cs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Приложения №1</w:t>
            </w:r>
            <w:r>
              <w:rPr>
                <w:rFonts w:hint="cs"/>
                <w:i w:val="0"/>
                <w:iCs w:val="0"/>
                <w:color w:val="auto"/>
                <w:sz w:val="20"/>
                <w:szCs w:val="20"/>
              </w:rPr>
              <w:t xml:space="preserve"> к настоящим Техническим требованиям </w:t>
            </w:r>
            <w:r>
              <w:rPr>
                <w:rStyle w:val="1061"/>
                <w:b/>
                <w:bCs/>
                <w:i w:val="0"/>
                <w:iCs w:val="0"/>
                <w:sz w:val="20"/>
                <w:szCs w:val="20"/>
                <w:u w:val="none"/>
              </w:rPr>
              <w:t xml:space="preserve">установлено ограничение </w:t>
            </w:r>
            <w:r>
              <w:rPr>
                <w:rFonts w:eastAsia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 xml:space="preserve">з</w:t>
            </w:r>
            <w:r>
              <w:rPr>
                <w:rFonts w:eastAsia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 xml:space="preserve">акупок товаров, происходящих из иностранных государст</w:t>
            </w:r>
            <w:r>
              <w:rPr>
                <w:rFonts w:eastAsia="Times New Roman"/>
                <w:b/>
                <w:bCs/>
                <w:i w:val="0"/>
                <w:iCs w:val="0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eastAsia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(в соответствии с </w:t>
            </w:r>
            <w:r>
              <w:rPr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</w:rPr>
              <w:t xml:space="preserve">ПП РФ № 1875 от 23.12.2024г.)</w:t>
            </w: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>
              <w:rPr>
                <w:b w:val="0"/>
                <w:bCs w:val="0"/>
                <w:i w:val="0"/>
                <w:sz w:val="20"/>
                <w:szCs w:val="20"/>
              </w:rPr>
            </w:r>
            <w:r>
              <w:rPr>
                <w:b w:val="0"/>
                <w:bCs w:val="0"/>
                <w:i w:val="0"/>
                <w:sz w:val="20"/>
                <w:szCs w:val="20"/>
              </w:rPr>
            </w:r>
          </w:p>
          <w:p>
            <w:pPr>
              <w:pStyle w:val="1059"/>
              <w:contextualSpacing w:val="0"/>
              <w:ind w:left="0" w:right="0" w:firstLine="0"/>
              <w:jc w:val="left"/>
              <w:keepLines/>
              <w:keepNext/>
              <w:spacing w:before="0" w:beforeAutospacing="0" w:after="0" w:afterAutospacing="0" w:line="240" w:lineRule="auto"/>
              <w:widowControl/>
              <w:rPr>
                <w:rFonts w:eastAsia="Times New Roman"/>
                <w:bCs w:val="0"/>
                <w:i w:val="0"/>
                <w:sz w:val="20"/>
                <w:szCs w:val="20"/>
              </w:rPr>
              <w:suppressLineNumbers w:val="0"/>
            </w:pPr>
            <w:r>
              <w:rPr>
                <w:rFonts w:eastAsia="Times New Roman"/>
                <w:b w:val="0"/>
                <w:bCs w:val="0"/>
                <w:i w:val="0"/>
                <w:iCs w:val="0"/>
                <w:sz w:val="20"/>
                <w:szCs w:val="20"/>
                <w:lang w:eastAsia="ru-RU"/>
              </w:rPr>
              <w:t xml:space="preserve">При осуществлении закупки то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вара,</w:t>
            </w:r>
            <w:r>
              <w:rPr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3" w:tooltip="https://login.consultant.ru/link/?req=doc&amp;base=LAW&amp;n=494318&amp;dst=100007" w:history="1">
              <w:r>
                <w:rPr>
                  <w:rFonts w:eastAsia="Times New Roman"/>
                  <w:i w:val="0"/>
                  <w:iCs w:val="0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государств, не допуска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ются:</w:t>
            </w:r>
            <w:r>
              <w:rPr>
                <w:rFonts w:eastAsia="Times New Roman"/>
                <w:bCs w:val="0"/>
                <w:i w:val="0"/>
                <w:sz w:val="20"/>
                <w:szCs w:val="20"/>
              </w:rPr>
            </w:r>
            <w:r>
              <w:rPr>
                <w:rFonts w:eastAsia="Times New Roman"/>
                <w:bCs w:val="0"/>
                <w:i w:val="0"/>
                <w:sz w:val="20"/>
                <w:szCs w:val="20"/>
              </w:rPr>
            </w:r>
          </w:p>
          <w:p>
            <w:pPr>
              <w:pStyle w:val="1059"/>
              <w:contextualSpacing w:val="0"/>
              <w:ind w:left="0" w:right="0" w:firstLine="283"/>
              <w:jc w:val="left"/>
              <w:keepLines/>
              <w:keepNext/>
              <w:spacing w:before="0" w:beforeAutospacing="0" w:after="0" w:afterAutospacing="0" w:line="240" w:lineRule="auto"/>
              <w:widowControl/>
              <w:rPr>
                <w:rFonts w:eastAsia="Times New Roman"/>
                <w:bCs w:val="0"/>
                <w:i w:val="0"/>
                <w:sz w:val="20"/>
                <w:szCs w:val="20"/>
                <w:lang w:eastAsia="ru-RU"/>
              </w:rPr>
              <w:suppressLineNumbers w:val="0"/>
            </w:pP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е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схождения;</w:t>
            </w:r>
            <w:r>
              <w:rPr>
                <w:rFonts w:eastAsia="Times New Roman"/>
                <w:bCs w:val="0"/>
                <w:i w:val="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bCs w:val="0"/>
                <w:i w:val="0"/>
                <w:sz w:val="20"/>
                <w:szCs w:val="20"/>
                <w:lang w:eastAsia="ru-RU"/>
              </w:rPr>
            </w:r>
          </w:p>
          <w:p>
            <w:pPr>
              <w:pStyle w:val="1059"/>
              <w:contextualSpacing w:val="0"/>
              <w:ind w:left="0" w:right="0" w:firstLine="283"/>
              <w:jc w:val="left"/>
              <w:keepLines/>
              <w:keepNext/>
              <w:spacing w:before="0" w:beforeAutospacing="0" w:after="0" w:afterAutospacing="0" w:line="240" w:lineRule="auto"/>
              <w:widowControl/>
              <w:rPr>
                <w:rFonts w:eastAsia="Times New Roman"/>
                <w:bCs w:val="0"/>
                <w:i w:val="0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б) </w:t>
            </w:r>
            <w:r>
              <w:rPr>
                <w:rFonts w:eastAsia="Times New Roman"/>
                <w:i w:val="0"/>
                <w:iCs w:val="0"/>
                <w:sz w:val="20"/>
                <w:szCs w:val="20"/>
                <w:lang w:eastAsia="ru-RU"/>
              </w:rPr>
      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eastAsia="Times New Roman"/>
                <w:bCs w:val="0"/>
                <w:i w:val="0"/>
                <w:sz w:val="20"/>
                <w:szCs w:val="20"/>
                <w:highlight w:val="none"/>
              </w:rPr>
            </w:r>
            <w:r>
              <w:rPr>
                <w:rFonts w:eastAsia="Times New Roman"/>
                <w:bCs w:val="0"/>
                <w:i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eastAsia="Times New Roman"/>
                <w:bCs w:val="0"/>
                <w:i w:val="0"/>
                <w:sz w:val="20"/>
                <w:szCs w:val="20"/>
                <w:highlight w:val="none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 w:val="0"/>
              <w:jc w:val="both"/>
              <w:keepLines/>
              <w:spacing w:before="0" w:beforeAutospacing="0" w:after="0" w:afterAutospacing="0" w:line="240" w:lineRule="auto"/>
              <w:widowControl w:val="off"/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lang w:val="ru-RU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lang w:val="ru-RU"/>
              </w:rPr>
            </w:r>
          </w:p>
          <w:p>
            <w:pPr>
              <w:numPr>
                <w:ilvl w:val="0"/>
                <w:numId w:val="0"/>
              </w:numPr>
              <w:contextualSpacing w:val="0"/>
              <w:jc w:val="both"/>
              <w:keepLines/>
              <w:spacing w:before="0" w:beforeAutospacing="0" w:after="0" w:afterAutospacing="0" w:line="240" w:lineRule="auto"/>
              <w:widowControl w:val="off"/>
              <w:rPr>
                <w:rFonts w:hint="default" w:ascii="Times New Roman" w:hAnsi="Times New Roman" w:eastAsia="Times New Roman" w:cs="Times New Roman"/>
                <w:bCs w:val="0"/>
                <w:i w:val="0"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iCs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</w:r>
          </w:p>
          <w:p>
            <w:pPr>
              <w:pStyle w:val="1000"/>
              <w:numPr>
                <w:ilvl w:val="0"/>
                <w:numId w:val="31"/>
              </w:numPr>
              <w:contextualSpacing w:val="0"/>
              <w:ind w:left="283" w:right="0" w:hanging="283"/>
              <w:jc w:val="both"/>
              <w:keepLines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</w:tabs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lang w:val="ru-RU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ый статьей 17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«О промышленной политике в Российской Федерации»,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lang w:val="ru-RU"/>
              </w:rPr>
            </w:r>
          </w:p>
          <w:p>
            <w:pPr>
              <w:pStyle w:val="1000"/>
              <w:numPr>
                <w:ilvl w:val="0"/>
                <w:numId w:val="32"/>
              </w:numPr>
              <w:contextualSpacing w:val="0"/>
              <w:ind w:left="283" w:right="0" w:firstLine="65"/>
              <w:jc w:val="both"/>
              <w:keepLines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</w:tabs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ПП РФ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 от 17 июля 2015 г. №719 «О подтверждении производства российской промышленной продукции»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ПП РФ от 17 июля 2015 г. №719,</w:t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</w:rPr>
            </w:r>
          </w:p>
          <w:p>
            <w:pPr>
              <w:pStyle w:val="1000"/>
              <w:numPr>
                <w:ilvl w:val="0"/>
                <w:numId w:val="32"/>
              </w:numPr>
              <w:contextualSpacing w:val="0"/>
              <w:ind w:left="283" w:right="0" w:firstLine="65"/>
              <w:jc w:val="both"/>
              <w:keepLines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</w:tabs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ПП РФ от 17 июля 2015 г. №719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 радиоэлектронной продукцией первого уровня или радиоэлектронной продукцией второго уровня).</w:t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</w:rPr>
            </w:r>
          </w:p>
          <w:p>
            <w:pPr>
              <w:pStyle w:val="1000"/>
              <w:numPr>
                <w:ilvl w:val="0"/>
                <w:numId w:val="31"/>
              </w:numPr>
              <w:contextualSpacing w:val="0"/>
              <w:ind w:left="283" w:right="0" w:hanging="283"/>
              <w:jc w:val="both"/>
              <w:keepLines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</w:tabs>
              <w:rPr>
                <w:rFonts w:hint="default" w:ascii="Times New Roman" w:hAnsi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Федерации.</w:t>
            </w:r>
            <w:r>
              <w:rPr>
                <w:rFonts w:hint="default" w:ascii="Times New Roman" w:hAnsi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</w:rPr>
            </w:r>
          </w:p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Указание характеристик</w:t>
            </w: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 w:eastAsiaTheme="minorHAnsi"/>
                <w:b/>
                <w:bCs/>
                <w:i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b/>
                <w:bCs/>
                <w:i/>
                <w:color w:val="000000" w:themeColor="text1"/>
                <w:sz w:val="20"/>
                <w:szCs w:val="20"/>
                <w:u w:val="singl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/>
                <w:bCs/>
                <w:i/>
                <w:color w:val="000000" w:themeColor="text1"/>
                <w:sz w:val="20"/>
                <w:szCs w:val="20"/>
                <w:u w:val="single"/>
                <w:lang w:eastAsia="en-US"/>
              </w:rPr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Д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ля подтверждения происхождения товаров из Российской Федерации</w:t>
            </w:r>
            <w:r>
              <w:rPr>
                <w:rFonts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(либо 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подтверждения происхождения товаров из государств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- членов Евразийского экономического союза,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 з</w:t>
            </w:r>
            <w:r>
              <w:rPr>
                <w:bCs/>
                <w:i w:val="0"/>
                <w:iCs w:val="0"/>
                <w:sz w:val="20"/>
                <w:szCs w:val="20"/>
              </w:rPr>
              <w:t xml:space="preserve">а исключением РФ)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: </w:t>
            </w:r>
            <w:r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r>
            <w:r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567" w:right="0" w:hanging="283"/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наименование реестра,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eastAsia="en-US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567" w:right="0" w:hanging="283"/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номер реестровой записи соответствующего реестра.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</w:p>
          <w:p>
            <w:pPr>
              <w:ind w:right="0"/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</w:p>
          <w:p>
            <w:pPr>
              <w:ind w:left="0" w:right="0"/>
              <w:jc w:val="both"/>
              <w:rPr>
                <w:rFonts w:ascii="Times New Roman" w:hAnsi="Times New Roman" w:eastAsia="Times New Roman" w:cs="Times New Roman"/>
                <w:i w:val="0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i w:val="0"/>
                <w:iCs w:val="0"/>
                <w:color w:val="000000" w:themeColor="text1"/>
                <w:sz w:val="20"/>
                <w:szCs w:val="20"/>
              </w:rPr>
              <w:t xml:space="preserve">В случае отсутствия требуемой выше информации</w:t>
            </w:r>
            <w:r>
              <w:rPr>
                <w:i w:val="0"/>
                <w:iCs w:val="0"/>
                <w:color w:val="000000" w:themeColor="text1"/>
                <w:sz w:val="20"/>
                <w:szCs w:val="20"/>
              </w:rPr>
              <w:t xml:space="preserve">,</w:t>
            </w:r>
            <w:r>
              <w:rPr>
                <w:i w:val="0"/>
                <w:iCs w:val="0"/>
                <w:color w:val="000000" w:themeColor="text1"/>
                <w:sz w:val="20"/>
                <w:szCs w:val="20"/>
              </w:rPr>
              <w:t xml:space="preserve"> заявка Участника приравнивается к заявке, в которой содержится предложение о </w:t>
            </w:r>
            <w:r>
              <w:rPr>
                <w:i w:val="0"/>
                <w:iCs w:val="0"/>
                <w:color w:val="000000" w:themeColor="text1"/>
                <w:sz w:val="20"/>
                <w:szCs w:val="20"/>
              </w:rPr>
              <w:t xml:space="preserve">поставке товаров, происходящих из иностранного государства (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0"/>
                <w:szCs w:val="20"/>
              </w:rPr>
              <w:t xml:space="preserve">ПП РФ №1875 от 23.12.2024). </w:t>
            </w:r>
            <w:r>
              <w:rPr>
                <w:rFonts w:ascii="Times New Roman" w:hAnsi="Times New Roman" w:eastAsia="Times New Roman" w:cs="Times New Roman"/>
                <w:i w:val="0"/>
                <w:color w:val="00000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tcW w:w="2038" w:type="dxa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2268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i w:val="0"/>
                <w:iCs w:val="0"/>
                <w:sz w:val="20"/>
                <w:szCs w:val="20"/>
              </w:rPr>
              <w:suppressLineNumbers w:val="0"/>
            </w:pPr>
            <w:r>
              <w:rPr>
                <w:i w:val="0"/>
                <w:iCs w:val="0"/>
                <w:sz w:val="20"/>
                <w:szCs w:val="20"/>
              </w:rPr>
              <w:t xml:space="preserve">2</w:t>
            </w:r>
            <w:r>
              <w:rPr>
                <w:i w:val="0"/>
                <w:iCs w:val="0"/>
                <w:sz w:val="20"/>
                <w:szCs w:val="20"/>
              </w:rPr>
            </w:r>
            <w:r>
              <w:rPr>
                <w:i w:val="0"/>
                <w:iCs w:val="0"/>
                <w:sz w:val="20"/>
                <w:szCs w:val="20"/>
              </w:rPr>
            </w:r>
          </w:p>
        </w:tc>
        <w:tc>
          <w:tcPr>
            <w:tcW w:w="4434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</w:rPr>
              <w:t xml:space="preserve">По позициям №№ 88, 264, 279, 322, 347 </w:t>
            </w:r>
            <w:r>
              <w:rPr>
                <w:rFonts w:hint="cs"/>
                <w:b w:val="0"/>
                <w:bCs w:val="0"/>
                <w:iCs/>
                <w:color w:val="auto"/>
                <w:sz w:val="20"/>
                <w:szCs w:val="20"/>
              </w:rPr>
              <w:t xml:space="preserve">Приложения №1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  <w:r>
              <w:rPr>
                <w:rFonts w:hint="cs"/>
                <w:iCs/>
                <w:color w:val="auto"/>
                <w:sz w:val="20"/>
                <w:szCs w:val="20"/>
              </w:rPr>
              <w:t xml:space="preserve">к настоящим Техническим требованиям 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у</w:t>
            </w:r>
            <w:r>
              <w:rPr>
                <w:b/>
                <w:bCs/>
                <w:sz w:val="20"/>
                <w:szCs w:val="20"/>
              </w:rPr>
              <w:t xml:space="preserve">становлено 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преимущество российской продукци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и</w:t>
            </w:r>
            <w:r>
              <w:rPr>
                <w:b w:val="0"/>
                <w:bCs w:val="0"/>
                <w:sz w:val="20"/>
                <w:szCs w:val="20"/>
              </w:rPr>
              <w:t xml:space="preserve">.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</w:p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4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</w:p>
          <w:p>
            <w:pPr>
              <w:ind w:left="0" w:right="0" w:firstLine="283"/>
              <w:jc w:val="both"/>
              <w:rPr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казание (декларирование) Участником в своей заявке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с </w:t>
            </w:r>
            <w:r>
              <w:rPr>
                <w:rStyle w:val="98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Общероссийским классификатором стран мира (ОКСМ)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contextualSpacing w:val="0"/>
              <w:jc w:val="both"/>
              <w:keepLines/>
              <w:spacing w:before="0" w:beforeAutospacing="0" w:after="0" w:afterAutospacing="0" w:line="240" w:lineRule="auto"/>
              <w:widowControl w:val="off"/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0"/>
                <w:szCs w:val="20"/>
                <w:lang w:eastAsia="en-US"/>
              </w:rPr>
              <w:suppressLineNumbers w:val="0"/>
            </w:pP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0"/>
                <w:szCs w:val="20"/>
                <w:lang w:eastAsia="en-US"/>
              </w:rPr>
            </w:r>
          </w:p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Указание характеристик</w:t>
            </w:r>
            <w:r>
              <w:rPr>
                <w:rFonts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  <w:r>
              <w:rPr>
                <w:rFonts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bCs w:val="0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98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jc w:val="both"/>
              <w:rPr>
                <w:rStyle w:val="98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предложение, с указанием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 о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стране происхождения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в соответствии с </w:t>
            </w:r>
            <w:r>
              <w:rPr>
                <w:rStyle w:val="98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Общероссийским классификатором стран мира (ОКСМ).</w:t>
            </w:r>
            <w:r>
              <w:rPr>
                <w:rStyle w:val="98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Style w:val="98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</w:p>
        </w:tc>
        <w:tc>
          <w:tcPr>
            <w:tcW w:w="2038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2551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i w:val="0"/>
                <w:iCs w:val="0"/>
                <w:sz w:val="20"/>
                <w:szCs w:val="20"/>
              </w:rPr>
              <w:suppressLineNumbers w:val="0"/>
            </w:pPr>
            <w:r>
              <w:rPr>
                <w:i w:val="0"/>
                <w:iCs w:val="0"/>
                <w:sz w:val="20"/>
                <w:szCs w:val="20"/>
              </w:rPr>
              <w:t xml:space="preserve">3</w:t>
            </w:r>
            <w:r>
              <w:rPr>
                <w:i w:val="0"/>
                <w:iCs w:val="0"/>
                <w:sz w:val="20"/>
                <w:szCs w:val="20"/>
              </w:rPr>
            </w:r>
            <w:r>
              <w:rPr>
                <w:i w:val="0"/>
                <w:iCs w:val="0"/>
                <w:sz w:val="20"/>
                <w:szCs w:val="20"/>
              </w:rPr>
            </w:r>
          </w:p>
        </w:tc>
        <w:tc>
          <w:tcPr>
            <w:tcW w:w="4434" w:type="dxa"/>
            <w:vAlign w:val="top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Cs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Cs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Times New Roman"/>
                <w:i/>
                <w:iCs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sz w:val="20"/>
                <w:szCs w:val="20"/>
                <w:highlight w:val="none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i w:val="0"/>
                <w:iCs w:val="0"/>
                <w:sz w:val="20"/>
                <w:szCs w:val="20"/>
                <w:highlight w:val="none"/>
                <w:lang w:eastAsia="ru-RU"/>
              </w:rPr>
              <w:t xml:space="preserve">о позициям №№  6, 158, 206, 235, 254, 277, 296, 320 </w:t>
            </w:r>
            <w:r>
              <w:rPr>
                <w:rFonts w:hint="cs"/>
                <w:b w:val="0"/>
                <w:bCs w:val="0"/>
                <w:iCs/>
                <w:color w:val="auto"/>
                <w:sz w:val="20"/>
                <w:szCs w:val="20"/>
              </w:rPr>
              <w:t xml:space="preserve">Приложения №1</w:t>
            </w:r>
            <w:r>
              <w:rPr>
                <w:rFonts w:hint="cs"/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  <w:r>
              <w:rPr>
                <w:rFonts w:hint="cs"/>
                <w:iCs/>
                <w:color w:val="auto"/>
                <w:sz w:val="20"/>
                <w:szCs w:val="20"/>
              </w:rPr>
              <w:t xml:space="preserve">к настоящим Техническим требованиям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Установлен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запрет закупок товаров (в том числе поставляемых при выполнении заку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, по перечню согласно приложению N 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</w:r>
          </w:p>
          <w:p>
            <w:pPr>
              <w:pStyle w:val="1059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не допускаются: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59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такого товара,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60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cs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cs"/>
                <w:b/>
                <w:bCs/>
                <w:color w:val="auto"/>
                <w:sz w:val="20"/>
                <w:szCs w:val="20"/>
              </w:rPr>
            </w:r>
            <w:r>
              <w:rPr>
                <w:rFonts w:hint="cs"/>
                <w:b/>
                <w:bCs/>
                <w:color w:val="auto"/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 w:val="0"/>
              <w:jc w:val="both"/>
              <w:keepLines/>
              <w:spacing w:before="0" w:beforeAutospacing="0" w:after="0" w:afterAutospacing="0" w:line="240" w:lineRule="auto"/>
              <w:widowControl w:val="off"/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lang w:val="ru-RU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none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bCs w:val="0"/>
                <w:i w:val="0"/>
                <w:caps w:val="0"/>
                <w:color w:val="000000" w:themeColor="text1"/>
                <w:spacing w:val="0"/>
                <w:sz w:val="20"/>
                <w:szCs w:val="20"/>
                <w:lang w:val="ru-RU"/>
              </w:rPr>
            </w:r>
          </w:p>
          <w:p>
            <w:pPr>
              <w:numPr>
                <w:ilvl w:val="0"/>
                <w:numId w:val="0"/>
              </w:numPr>
              <w:jc w:val="both"/>
              <w:spacing w:line="240" w:lineRule="auto"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49"/>
              <w:numPr>
                <w:ilvl w:val="0"/>
                <w:numId w:val="46"/>
              </w:numPr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ые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статьей 17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"О промышленной политике в Российской Федерации"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                        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49"/>
              <w:numPr>
                <w:ilvl w:val="0"/>
                <w:numId w:val="46"/>
              </w:numPr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0"/>
                <w:szCs w:val="20"/>
                <w:lang w:eastAsia="en-US"/>
              </w:rPr>
              <w:suppressLineNumbers w:val="0"/>
            </w:pP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0"/>
                <w:szCs w:val="20"/>
                <w:lang w:eastAsia="en-US"/>
              </w:rPr>
            </w:r>
          </w:p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Указание характеристик</w:t>
            </w:r>
            <w:r>
              <w:rPr>
                <w:rFonts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  <w:r>
              <w:rPr>
                <w:rFonts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</w:p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 w:eastAsiaTheme="minorHAnsi"/>
                <w:b/>
                <w:bCs/>
                <w:i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b/>
                <w:bCs/>
                <w:i/>
                <w:color w:val="000000" w:themeColor="text1"/>
                <w:sz w:val="20"/>
                <w:szCs w:val="20"/>
                <w:u w:val="singl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/>
                <w:bCs/>
                <w:i/>
                <w:color w:val="000000" w:themeColor="text1"/>
                <w:sz w:val="20"/>
                <w:szCs w:val="20"/>
                <w:u w:val="single"/>
                <w:lang w:eastAsia="en-US"/>
              </w:rPr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Д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ля подтверждения происхождения товаров из Российской Федерации</w:t>
            </w:r>
            <w:r>
              <w:rPr>
                <w:rFonts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(либо 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подтверждения происхождения товаров из государств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- членов Евразийского экономического союза,</w:t>
            </w:r>
            <w:r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 з</w:t>
            </w:r>
            <w:r>
              <w:rPr>
                <w:bCs/>
                <w:i w:val="0"/>
                <w:iCs w:val="0"/>
                <w:sz w:val="20"/>
                <w:szCs w:val="20"/>
              </w:rPr>
              <w:t xml:space="preserve">а исключением РФ)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</w:t>
            </w:r>
            <w:r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u w:val="none"/>
                <w:lang w:eastAsia="en-US"/>
              </w:rPr>
              <w:t xml:space="preserve">Коммерческое предложение</w:t>
            </w:r>
            <w:r>
              <w:rPr>
                <w:rFonts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u w:val="non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: </w:t>
            </w:r>
            <w:r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r>
            <w:r>
              <w:rPr>
                <w:rFonts w:hint="default"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val="ru-RU" w:eastAsia="en-US"/>
              </w:rPr>
            </w:r>
          </w:p>
          <w:p>
            <w:pPr>
              <w:pStyle w:val="1000"/>
              <w:numPr>
                <w:ilvl w:val="0"/>
                <w:numId w:val="45"/>
              </w:numPr>
              <w:ind w:left="567" w:right="0" w:hanging="283"/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наименование реестра,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lang w:eastAsia="en-US"/>
              </w:rPr>
            </w:r>
          </w:p>
          <w:p>
            <w:pPr>
              <w:pStyle w:val="1000"/>
              <w:numPr>
                <w:ilvl w:val="0"/>
                <w:numId w:val="45"/>
              </w:numPr>
              <w:ind w:left="567" w:right="0" w:hanging="283"/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номер реестровой записи соответствующего реестра.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</w:p>
          <w:p>
            <w:pPr>
              <w:ind w:right="0"/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  <w:lang w:eastAsia="en-US"/>
              </w:rPr>
            </w:r>
          </w:p>
        </w:tc>
        <w:tc>
          <w:tcPr>
            <w:tcW w:w="2038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/>
              <w:keepNext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</w:tbl>
    <w:p>
      <w:pPr>
        <w:spacing w:before="0" w:beforeAutospacing="0" w:after="0" w:afterAutospacing="0" w:line="240" w:lineRule="auto"/>
        <w:rPr>
          <w:sz w:val="23"/>
          <w:szCs w:val="23"/>
          <w:highlight w:val="none"/>
        </w:rPr>
      </w:pPr>
      <w:r>
        <w:rPr>
          <w:sz w:val="23"/>
          <w:szCs w:val="23"/>
          <w:highlight w:val="none"/>
          <w:lang w:val="ru-RU"/>
        </w:rPr>
      </w:r>
      <w:r>
        <w:rPr>
          <w:sz w:val="23"/>
          <w:szCs w:val="23"/>
          <w:highlight w:val="none"/>
        </w:rPr>
      </w:r>
      <w:r>
        <w:rPr>
          <w:sz w:val="23"/>
          <w:szCs w:val="23"/>
          <w:highlight w:val="none"/>
        </w:rPr>
      </w:r>
    </w:p>
    <w:p>
      <w:pPr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before="0" w:beforeAutospacing="0" w:after="0" w:afterAutospacing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before="0" w:beforeAutospacing="0" w:after="0" w:afterAutospacing="0" w:line="240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5. Приложения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1000"/>
        <w:numPr>
          <w:ilvl w:val="0"/>
          <w:numId w:val="44"/>
        </w:numPr>
        <w:spacing w:before="0" w:beforeAutospacing="0" w:after="0" w:afterAutospacing="0" w:line="240" w:lineRule="auto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Приложение №1 - </w:t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sectPr>
      <w:footnotePr/>
      <w:endnotePr/>
      <w:type w:val="continuous"/>
      <w:pgSz w:w="16838" w:h="11906" w:orient="landscape"/>
      <w:pgMar w:top="992" w:right="851" w:bottom="851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rPr>
        <w:rStyle w:val="967"/>
      </w:rPr>
      <w:framePr w:wrap="around" w:vAnchor="text" w:hAnchor="margin" w:xAlign="center" w:y="1"/>
    </w:pPr>
    <w:r>
      <w:rPr>
        <w:rStyle w:val="967"/>
      </w:rPr>
      <w:fldChar w:fldCharType="begin"/>
    </w:r>
    <w:r>
      <w:rPr>
        <w:rStyle w:val="967"/>
      </w:rPr>
      <w:instrText xml:space="preserve">PAGE  </w:instrText>
    </w:r>
    <w:r>
      <w:rPr>
        <w:rStyle w:val="967"/>
      </w:rPr>
      <w:fldChar w:fldCharType="end"/>
    </w:r>
    <w:r>
      <w:rPr>
        <w:rStyle w:val="967"/>
      </w:rPr>
    </w:r>
    <w:r>
      <w:rPr>
        <w:rStyle w:val="967"/>
      </w:rPr>
    </w:r>
  </w:p>
  <w:p>
    <w:pPr>
      <w:pStyle w:val="95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4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93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3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3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1028"/>
    <w:lvl w:ilvl="0">
      <w:start w:val="1"/>
      <w:numFmt w:val="decimal"/>
      <w:pStyle w:val="102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4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101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1024"/>
    <w:lvl w:ilvl="0">
      <w:start w:val="3"/>
      <w:numFmt w:val="decimal"/>
      <w:pStyle w:val="102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6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8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20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2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6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8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26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  <w:tabs>
          <w:tab w:val="num" w:pos="0" w:leader="none"/>
        </w:tabs>
      </w:pPr>
      <w:rPr>
        <w:rFonts w:hint="default" w:ascii="Calibri" w:hAnsi="Calibri" w:cs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  <w:rPr>
        <w:i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8">
    <w:name w:val="Heading 1 Char"/>
    <w:basedOn w:val="943"/>
    <w:link w:val="934"/>
    <w:uiPriority w:val="9"/>
    <w:rPr>
      <w:rFonts w:ascii="Arial" w:hAnsi="Arial" w:eastAsia="Arial" w:cs="Arial"/>
      <w:sz w:val="40"/>
      <w:szCs w:val="40"/>
    </w:rPr>
  </w:style>
  <w:style w:type="character" w:styleId="789">
    <w:name w:val="Heading 2 Char"/>
    <w:basedOn w:val="943"/>
    <w:link w:val="935"/>
    <w:uiPriority w:val="9"/>
    <w:rPr>
      <w:rFonts w:ascii="Arial" w:hAnsi="Arial" w:eastAsia="Arial" w:cs="Arial"/>
      <w:sz w:val="34"/>
    </w:rPr>
  </w:style>
  <w:style w:type="character" w:styleId="790">
    <w:name w:val="Heading 3 Char"/>
    <w:basedOn w:val="943"/>
    <w:link w:val="936"/>
    <w:uiPriority w:val="9"/>
    <w:rPr>
      <w:rFonts w:ascii="Arial" w:hAnsi="Arial" w:eastAsia="Arial" w:cs="Arial"/>
      <w:sz w:val="30"/>
      <w:szCs w:val="30"/>
    </w:rPr>
  </w:style>
  <w:style w:type="character" w:styleId="791">
    <w:name w:val="Heading 4 Char"/>
    <w:basedOn w:val="943"/>
    <w:link w:val="937"/>
    <w:uiPriority w:val="9"/>
    <w:rPr>
      <w:rFonts w:ascii="Arial" w:hAnsi="Arial" w:eastAsia="Arial" w:cs="Arial"/>
      <w:b/>
      <w:bCs/>
      <w:sz w:val="26"/>
      <w:szCs w:val="26"/>
    </w:rPr>
  </w:style>
  <w:style w:type="character" w:styleId="792">
    <w:name w:val="Heading 5 Char"/>
    <w:basedOn w:val="943"/>
    <w:link w:val="938"/>
    <w:uiPriority w:val="9"/>
    <w:rPr>
      <w:rFonts w:ascii="Arial" w:hAnsi="Arial" w:eastAsia="Arial" w:cs="Arial"/>
      <w:b/>
      <w:bCs/>
      <w:sz w:val="24"/>
      <w:szCs w:val="24"/>
    </w:rPr>
  </w:style>
  <w:style w:type="character" w:styleId="793">
    <w:name w:val="Heading 6 Char"/>
    <w:basedOn w:val="943"/>
    <w:link w:val="939"/>
    <w:uiPriority w:val="9"/>
    <w:rPr>
      <w:rFonts w:ascii="Arial" w:hAnsi="Arial" w:eastAsia="Arial" w:cs="Arial"/>
      <w:b/>
      <w:bCs/>
      <w:sz w:val="22"/>
      <w:szCs w:val="22"/>
    </w:rPr>
  </w:style>
  <w:style w:type="character" w:styleId="794">
    <w:name w:val="Heading 7 Char"/>
    <w:basedOn w:val="943"/>
    <w:link w:val="9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5">
    <w:name w:val="Heading 8 Char"/>
    <w:basedOn w:val="943"/>
    <w:link w:val="941"/>
    <w:uiPriority w:val="9"/>
    <w:rPr>
      <w:rFonts w:ascii="Arial" w:hAnsi="Arial" w:eastAsia="Arial" w:cs="Arial"/>
      <w:i/>
      <w:iCs/>
      <w:sz w:val="22"/>
      <w:szCs w:val="22"/>
    </w:rPr>
  </w:style>
  <w:style w:type="character" w:styleId="796">
    <w:name w:val="Heading 9 Char"/>
    <w:basedOn w:val="943"/>
    <w:link w:val="942"/>
    <w:uiPriority w:val="9"/>
    <w:rPr>
      <w:rFonts w:ascii="Arial" w:hAnsi="Arial" w:eastAsia="Arial" w:cs="Arial"/>
      <w:i/>
      <w:iCs/>
      <w:sz w:val="21"/>
      <w:szCs w:val="21"/>
    </w:rPr>
  </w:style>
  <w:style w:type="paragraph" w:styleId="797">
    <w:name w:val="Title"/>
    <w:basedOn w:val="933"/>
    <w:next w:val="933"/>
    <w:link w:val="7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8">
    <w:name w:val="Title Char"/>
    <w:basedOn w:val="943"/>
    <w:link w:val="797"/>
    <w:uiPriority w:val="10"/>
    <w:rPr>
      <w:sz w:val="48"/>
      <w:szCs w:val="48"/>
    </w:rPr>
  </w:style>
  <w:style w:type="character" w:styleId="799">
    <w:name w:val="Subtitle Char"/>
    <w:basedOn w:val="943"/>
    <w:link w:val="997"/>
    <w:uiPriority w:val="11"/>
    <w:rPr>
      <w:sz w:val="24"/>
      <w:szCs w:val="24"/>
    </w:rPr>
  </w:style>
  <w:style w:type="character" w:styleId="800">
    <w:name w:val="Quote Char"/>
    <w:link w:val="1001"/>
    <w:uiPriority w:val="29"/>
    <w:rPr>
      <w:i/>
    </w:rPr>
  </w:style>
  <w:style w:type="character" w:styleId="801">
    <w:name w:val="Intense Quote Char"/>
    <w:link w:val="1003"/>
    <w:uiPriority w:val="30"/>
    <w:rPr>
      <w:i/>
    </w:rPr>
  </w:style>
  <w:style w:type="character" w:styleId="802">
    <w:name w:val="Header Char"/>
    <w:basedOn w:val="943"/>
    <w:link w:val="955"/>
    <w:uiPriority w:val="99"/>
  </w:style>
  <w:style w:type="character" w:styleId="803">
    <w:name w:val="Footer Char"/>
    <w:basedOn w:val="943"/>
    <w:link w:val="958"/>
    <w:uiPriority w:val="99"/>
  </w:style>
  <w:style w:type="character" w:styleId="804">
    <w:name w:val="Caption Char"/>
    <w:basedOn w:val="995"/>
    <w:link w:val="958"/>
    <w:uiPriority w:val="99"/>
  </w:style>
  <w:style w:type="table" w:styleId="805">
    <w:name w:val="Table Grid Light"/>
    <w:basedOn w:val="9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Plain Table 1"/>
    <w:basedOn w:val="9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basedOn w:val="9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>
    <w:name w:val="Grid Table 4 - Accent 1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4">
    <w:name w:val="Grid Table 4 - Accent 2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Grid Table 4 - Accent 3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6">
    <w:name w:val="Grid Table 4 - Accent 4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Grid Table 4 - Accent 5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8">
    <w:name w:val="Grid Table 4 - Accent 6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9">
    <w:name w:val="Grid Table 5 Dark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0">
    <w:name w:val="Grid Table 5 Dark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3">
    <w:name w:val="Grid Table 5 Dark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6">
    <w:name w:val="Grid Table 6 Colorful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7">
    <w:name w:val="Grid Table 6 Colorful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8">
    <w:name w:val="Grid Table 6 Colorful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9">
    <w:name w:val="Grid Table 6 Colorful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0">
    <w:name w:val="Grid Table 6 Colorful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1">
    <w:name w:val="Grid Table 6 Colorful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2">
    <w:name w:val="Grid Table 6 Colorful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3">
    <w:name w:val="Grid Table 7 Colorful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8">
    <w:name w:val="List Table 2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9">
    <w:name w:val="List Table 2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0">
    <w:name w:val="List Table 2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1">
    <w:name w:val="List Table 2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2">
    <w:name w:val="List Table 2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3">
    <w:name w:val="List Table 2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6 Colorful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6">
    <w:name w:val="List Table 6 Colorful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7">
    <w:name w:val="List Table 6 Colorful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8">
    <w:name w:val="List Table 6 Colorful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9">
    <w:name w:val="List Table 6 Colorful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0">
    <w:name w:val="List Table 6 Colorful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1">
    <w:name w:val="List Table 6 Colorful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2">
    <w:name w:val="List Table 7 Colorful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3">
    <w:name w:val="List Table 7 Colorful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04">
    <w:name w:val="List Table 7 Colorful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5">
    <w:name w:val="List Table 7 Colorful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6">
    <w:name w:val="List Table 7 Colorful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7">
    <w:name w:val="List Table 7 Colorful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08">
    <w:name w:val="List Table 7 Colorful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9">
    <w:name w:val="Lined - Accent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0">
    <w:name w:val="Lined - Accent 1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11">
    <w:name w:val="Lined - Accent 2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2">
    <w:name w:val="Lined - Accent 3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3">
    <w:name w:val="Lined - Accent 4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4">
    <w:name w:val="Lined - Accent 5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15">
    <w:name w:val="Lined - Accent 6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6">
    <w:name w:val="Bordered &amp; Lined - Accent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7">
    <w:name w:val="Bordered &amp; Lined - Accent 1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18">
    <w:name w:val="Bordered &amp; Lined - Accent 2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9">
    <w:name w:val="Bordered &amp; Lined - Accent 3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0">
    <w:name w:val="Bordered &amp; Lined - Accent 4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1">
    <w:name w:val="Bordered &amp; Lined - Accent 5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22">
    <w:name w:val="Bordered &amp; Lined - Accent 6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3">
    <w:name w:val="Bordered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4">
    <w:name w:val="Bordered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5">
    <w:name w:val="Bordered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6">
    <w:name w:val="Bordered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7">
    <w:name w:val="Bordered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8">
    <w:name w:val="Bordered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9">
    <w:name w:val="Bordered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0">
    <w:name w:val="Footnote Text Char"/>
    <w:link w:val="949"/>
    <w:uiPriority w:val="99"/>
    <w:rPr>
      <w:sz w:val="18"/>
    </w:rPr>
  </w:style>
  <w:style w:type="character" w:styleId="931">
    <w:name w:val="Endnote Text Char"/>
    <w:link w:val="1043"/>
    <w:uiPriority w:val="99"/>
    <w:rPr>
      <w:sz w:val="20"/>
    </w:rPr>
  </w:style>
  <w:style w:type="paragraph" w:styleId="932">
    <w:name w:val="table of figures"/>
    <w:basedOn w:val="933"/>
    <w:next w:val="933"/>
    <w:uiPriority w:val="99"/>
    <w:unhideWhenUsed/>
    <w:pPr>
      <w:spacing w:after="0" w:afterAutospacing="0"/>
    </w:pPr>
  </w:style>
  <w:style w:type="paragraph" w:styleId="933" w:default="1">
    <w:name w:val="Normal"/>
    <w:qFormat/>
    <w:rPr>
      <w:sz w:val="28"/>
      <w:szCs w:val="28"/>
    </w:rPr>
  </w:style>
  <w:style w:type="paragraph" w:styleId="934">
    <w:name w:val="Heading 1"/>
    <w:basedOn w:val="936"/>
    <w:next w:val="933"/>
    <w:link w:val="987"/>
    <w:qFormat/>
    <w:pPr>
      <w:numPr>
        <w:ilvl w:val="0"/>
      </w:numPr>
      <w:outlineLvl w:val="0"/>
    </w:pPr>
    <w:rPr>
      <w:sz w:val="28"/>
      <w:szCs w:val="28"/>
    </w:rPr>
  </w:style>
  <w:style w:type="paragraph" w:styleId="935">
    <w:name w:val="Heading 2"/>
    <w:basedOn w:val="937"/>
    <w:next w:val="933"/>
    <w:link w:val="989"/>
    <w:qFormat/>
    <w:pPr>
      <w:outlineLvl w:val="1"/>
    </w:pPr>
  </w:style>
  <w:style w:type="paragraph" w:styleId="936">
    <w:name w:val="Heading 3"/>
    <w:basedOn w:val="933"/>
    <w:next w:val="933"/>
    <w:link w:val="99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37">
    <w:name w:val="Heading 4"/>
    <w:basedOn w:val="936"/>
    <w:next w:val="933"/>
    <w:link w:val="991"/>
    <w:qFormat/>
    <w:pPr>
      <w:numPr>
        <w:ilvl w:val="1"/>
      </w:numPr>
      <w:outlineLvl w:val="3"/>
    </w:pPr>
    <w:rPr>
      <w:bCs/>
    </w:rPr>
  </w:style>
  <w:style w:type="paragraph" w:styleId="938">
    <w:name w:val="Heading 5"/>
    <w:basedOn w:val="933"/>
    <w:next w:val="933"/>
    <w:link w:val="99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39">
    <w:name w:val="Heading 6"/>
    <w:basedOn w:val="933"/>
    <w:next w:val="933"/>
    <w:link w:val="98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40">
    <w:name w:val="Heading 7"/>
    <w:basedOn w:val="933"/>
    <w:next w:val="933"/>
    <w:link w:val="98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41">
    <w:name w:val="Heading 8"/>
    <w:basedOn w:val="933"/>
    <w:next w:val="933"/>
    <w:link w:val="98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42">
    <w:name w:val="Heading 9"/>
    <w:basedOn w:val="933"/>
    <w:next w:val="933"/>
    <w:link w:val="99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43" w:default="1">
    <w:name w:val="Default Paragraph Font"/>
    <w:uiPriority w:val="1"/>
    <w:semiHidden/>
    <w:unhideWhenUsed/>
  </w:style>
  <w:style w:type="table" w:styleId="9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5" w:default="1">
    <w:name w:val="No List"/>
    <w:uiPriority w:val="99"/>
    <w:semiHidden/>
    <w:unhideWhenUsed/>
  </w:style>
  <w:style w:type="paragraph" w:styleId="946" w:customStyle="1">
    <w:name w:val="Название раздела инструкции"/>
    <w:basedOn w:val="933"/>
    <w:pPr>
      <w:jc w:val="center"/>
    </w:pPr>
    <w:rPr>
      <w:b/>
    </w:rPr>
  </w:style>
  <w:style w:type="paragraph" w:styleId="947" w:customStyle="1">
    <w:name w:val="Раздел положения"/>
    <w:basedOn w:val="93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8" w:customStyle="1">
    <w:name w:val="Подраздел раздела положения"/>
    <w:basedOn w:val="933"/>
    <w:pPr>
      <w:numPr>
        <w:ilvl w:val="1"/>
        <w:numId w:val="1"/>
      </w:numPr>
      <w:jc w:val="both"/>
      <w:spacing w:before="80" w:after="80"/>
    </w:pPr>
  </w:style>
  <w:style w:type="paragraph" w:styleId="949">
    <w:name w:val="footnote text"/>
    <w:basedOn w:val="933"/>
    <w:link w:val="1023"/>
    <w:uiPriority w:val="99"/>
    <w:rPr>
      <w:sz w:val="20"/>
      <w:szCs w:val="20"/>
    </w:rPr>
  </w:style>
  <w:style w:type="character" w:styleId="950">
    <w:name w:val="footnote reference"/>
    <w:rPr>
      <w:vertAlign w:val="superscript"/>
    </w:rPr>
  </w:style>
  <w:style w:type="paragraph" w:styleId="951" w:customStyle="1">
    <w:name w:val="Шапка 1"/>
    <w:basedOn w:val="93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2" w:customStyle="1">
    <w:name w:val="Шапка 2"/>
    <w:basedOn w:val="93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3" w:customStyle="1">
    <w:name w:val="Шапка 3"/>
    <w:basedOn w:val="93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4" w:customStyle="1">
    <w:name w:val="Название1"/>
    <w:basedOn w:val="933"/>
    <w:link w:val="996"/>
    <w:uiPriority w:val="10"/>
    <w:qFormat/>
    <w:pPr>
      <w:jc w:val="center"/>
    </w:pPr>
    <w:rPr>
      <w:szCs w:val="20"/>
    </w:rPr>
  </w:style>
  <w:style w:type="paragraph" w:styleId="955">
    <w:name w:val="Header"/>
    <w:basedOn w:val="933"/>
    <w:link w:val="104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6">
    <w:name w:val="Body Text Indent"/>
    <w:basedOn w:val="933"/>
    <w:pPr>
      <w:ind w:left="360"/>
    </w:pPr>
    <w:rPr>
      <w:sz w:val="24"/>
      <w:szCs w:val="24"/>
    </w:rPr>
  </w:style>
  <w:style w:type="table" w:styleId="957">
    <w:name w:val="Table Grid"/>
    <w:basedOn w:val="94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8">
    <w:name w:val="Footer"/>
    <w:basedOn w:val="933"/>
    <w:pPr>
      <w:tabs>
        <w:tab w:val="center" w:pos="4677" w:leader="none"/>
        <w:tab w:val="right" w:pos="9355" w:leader="none"/>
      </w:tabs>
    </w:pPr>
  </w:style>
  <w:style w:type="paragraph" w:styleId="959">
    <w:name w:val="Body Text"/>
    <w:basedOn w:val="933"/>
    <w:link w:val="1026"/>
    <w:pPr>
      <w:spacing w:after="120"/>
    </w:pPr>
  </w:style>
  <w:style w:type="paragraph" w:styleId="960">
    <w:name w:val="Body Text Indent 2"/>
    <w:basedOn w:val="933"/>
    <w:pPr>
      <w:ind w:left="283"/>
      <w:spacing w:after="120" w:line="480" w:lineRule="auto"/>
    </w:pPr>
  </w:style>
  <w:style w:type="paragraph" w:styleId="961">
    <w:name w:val="Body Text 3"/>
    <w:basedOn w:val="933"/>
    <w:pPr>
      <w:spacing w:after="120"/>
    </w:pPr>
    <w:rPr>
      <w:sz w:val="16"/>
      <w:szCs w:val="16"/>
    </w:rPr>
  </w:style>
  <w:style w:type="paragraph" w:styleId="962">
    <w:name w:val="Body Text Indent 3"/>
    <w:basedOn w:val="933"/>
    <w:link w:val="1057"/>
    <w:pPr>
      <w:ind w:left="283"/>
      <w:spacing w:after="120"/>
    </w:pPr>
    <w:rPr>
      <w:sz w:val="16"/>
      <w:szCs w:val="16"/>
    </w:rPr>
  </w:style>
  <w:style w:type="paragraph" w:styleId="963">
    <w:name w:val="Body Text 2"/>
    <w:basedOn w:val="933"/>
    <w:pPr>
      <w:spacing w:after="120" w:line="480" w:lineRule="auto"/>
    </w:pPr>
  </w:style>
  <w:style w:type="paragraph" w:styleId="964">
    <w:name w:val="Block Text"/>
    <w:basedOn w:val="933"/>
    <w:pPr>
      <w:ind w:left="-567" w:right="-766"/>
      <w:jc w:val="center"/>
    </w:pPr>
    <w:rPr>
      <w:b/>
      <w:bCs/>
      <w:sz w:val="24"/>
      <w:szCs w:val="20"/>
    </w:rPr>
  </w:style>
  <w:style w:type="paragraph" w:styleId="965" w:customStyle="1">
    <w:name w:val="Подпункт"/>
    <w:basedOn w:val="933"/>
    <w:link w:val="102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6" w:customStyle="1">
    <w:name w:val="Пункт2"/>
    <w:basedOn w:val="933"/>
    <w:link w:val="104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7">
    <w:name w:val="page number"/>
    <w:basedOn w:val="943"/>
  </w:style>
  <w:style w:type="paragraph" w:styleId="968">
    <w:name w:val="toc 1"/>
    <w:basedOn w:val="933"/>
    <w:next w:val="933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69">
    <w:name w:val="toc 3"/>
    <w:basedOn w:val="933"/>
    <w:next w:val="933"/>
    <w:uiPriority w:val="39"/>
    <w:pPr>
      <w:ind w:left="280"/>
    </w:pPr>
    <w:rPr>
      <w:rFonts w:cstheme="minorHAnsi"/>
      <w:sz w:val="20"/>
      <w:szCs w:val="20"/>
    </w:rPr>
  </w:style>
  <w:style w:type="character" w:styleId="970">
    <w:name w:val="Hyperlink"/>
    <w:uiPriority w:val="99"/>
    <w:rPr>
      <w:color w:val="0000ff"/>
      <w:u w:val="single"/>
    </w:rPr>
  </w:style>
  <w:style w:type="paragraph" w:styleId="971" w:customStyle="1">
    <w:name w:val="Раздел регламента"/>
    <w:basedOn w:val="933"/>
  </w:style>
  <w:style w:type="paragraph" w:styleId="972" w:customStyle="1">
    <w:name w:val="Приложение к регламенту"/>
    <w:basedOn w:val="933"/>
    <w:pPr>
      <w:jc w:val="right"/>
    </w:pPr>
  </w:style>
  <w:style w:type="paragraph" w:styleId="973">
    <w:name w:val="toc 2"/>
    <w:basedOn w:val="933"/>
    <w:next w:val="93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74">
    <w:name w:val="Balloon Text"/>
    <w:basedOn w:val="933"/>
    <w:semiHidden/>
    <w:rPr>
      <w:rFonts w:ascii="Tahoma" w:hAnsi="Tahoma" w:cs="Tahoma"/>
      <w:sz w:val="16"/>
      <w:szCs w:val="16"/>
    </w:rPr>
  </w:style>
  <w:style w:type="character" w:styleId="975">
    <w:name w:val="annotation reference"/>
    <w:uiPriority w:val="99"/>
    <w:semiHidden/>
    <w:rPr>
      <w:sz w:val="16"/>
      <w:szCs w:val="16"/>
    </w:rPr>
  </w:style>
  <w:style w:type="paragraph" w:styleId="976">
    <w:name w:val="annotation text"/>
    <w:basedOn w:val="933"/>
    <w:link w:val="1041"/>
    <w:semiHidden/>
    <w:rPr>
      <w:sz w:val="20"/>
      <w:szCs w:val="20"/>
    </w:rPr>
  </w:style>
  <w:style w:type="paragraph" w:styleId="977">
    <w:name w:val="annotation subject"/>
    <w:basedOn w:val="976"/>
    <w:next w:val="976"/>
    <w:semiHidden/>
    <w:rPr>
      <w:b/>
      <w:bCs/>
    </w:rPr>
  </w:style>
  <w:style w:type="paragraph" w:styleId="978" w:customStyle="1">
    <w:name w:val="Обычный (веб)1"/>
    <w:basedOn w:val="93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9">
    <w:name w:val="toc 9"/>
    <w:basedOn w:val="933"/>
    <w:next w:val="93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80">
    <w:name w:val="toc 5"/>
    <w:basedOn w:val="933"/>
    <w:next w:val="93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81">
    <w:name w:val="toc 4"/>
    <w:basedOn w:val="933"/>
    <w:next w:val="933"/>
    <w:uiPriority w:val="39"/>
    <w:pPr>
      <w:ind w:left="560"/>
    </w:pPr>
    <w:rPr>
      <w:rFonts w:cstheme="minorHAnsi"/>
      <w:sz w:val="20"/>
      <w:szCs w:val="20"/>
    </w:rPr>
  </w:style>
  <w:style w:type="paragraph" w:styleId="982" w:customStyle="1">
    <w:name w:val="Раздел положения 2"/>
    <w:basedOn w:val="933"/>
    <w:pPr>
      <w:jc w:val="both"/>
      <w:pageBreakBefore/>
      <w:outlineLvl w:val="0"/>
    </w:pPr>
    <w:rPr>
      <w:b/>
    </w:rPr>
  </w:style>
  <w:style w:type="character" w:styleId="983">
    <w:name w:val="Strong"/>
    <w:qFormat/>
    <w:rPr>
      <w:b/>
      <w:bCs/>
    </w:rPr>
  </w:style>
  <w:style w:type="character" w:styleId="984" w:customStyle="1">
    <w:name w:val="Заголовок 6 Знак"/>
    <w:link w:val="939"/>
    <w:uiPriority w:val="9"/>
    <w:rPr>
      <w:rFonts w:ascii="Cambria" w:hAnsi="Cambria"/>
      <w:i/>
      <w:iCs/>
      <w:color w:val="243f60"/>
    </w:rPr>
  </w:style>
  <w:style w:type="character" w:styleId="985" w:customStyle="1">
    <w:name w:val="Заголовок 7 Знак"/>
    <w:link w:val="940"/>
    <w:uiPriority w:val="9"/>
    <w:rPr>
      <w:rFonts w:ascii="Cambria" w:hAnsi="Cambria"/>
      <w:i/>
      <w:iCs/>
      <w:color w:val="404040"/>
    </w:rPr>
  </w:style>
  <w:style w:type="character" w:styleId="986" w:customStyle="1">
    <w:name w:val="Заголовок 8 Знак"/>
    <w:link w:val="941"/>
    <w:uiPriority w:val="9"/>
    <w:rPr>
      <w:rFonts w:ascii="Cambria" w:hAnsi="Cambria"/>
      <w:color w:val="4f81bd"/>
    </w:rPr>
  </w:style>
  <w:style w:type="character" w:styleId="987" w:customStyle="1">
    <w:name w:val="Заголовок 1 Знак"/>
    <w:link w:val="934"/>
    <w:rPr>
      <w:rFonts w:eastAsia="Calibri"/>
      <w:b/>
      <w:sz w:val="28"/>
      <w:szCs w:val="28"/>
    </w:rPr>
  </w:style>
  <w:style w:type="paragraph" w:styleId="988" w:customStyle="1">
    <w:name w:val="Знак Знак Знак Знак Знак Знак Знак Знак Знак"/>
    <w:basedOn w:val="93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89" w:customStyle="1">
    <w:name w:val="Заголовок 2 Знак"/>
    <w:link w:val="935"/>
    <w:rPr>
      <w:rFonts w:eastAsia="Calibri"/>
      <w:b/>
      <w:bCs/>
      <w:sz w:val="24"/>
      <w:szCs w:val="24"/>
    </w:rPr>
  </w:style>
  <w:style w:type="character" w:styleId="990" w:customStyle="1">
    <w:name w:val="Заголовок 3 Знак"/>
    <w:link w:val="936"/>
    <w:rPr>
      <w:rFonts w:eastAsia="Calibri"/>
      <w:b/>
      <w:sz w:val="24"/>
      <w:szCs w:val="24"/>
    </w:rPr>
  </w:style>
  <w:style w:type="character" w:styleId="991" w:customStyle="1">
    <w:name w:val="Заголовок 4 Знак"/>
    <w:link w:val="937"/>
    <w:rPr>
      <w:rFonts w:eastAsia="Calibri"/>
      <w:b/>
      <w:bCs/>
      <w:sz w:val="24"/>
      <w:szCs w:val="24"/>
    </w:rPr>
  </w:style>
  <w:style w:type="character" w:styleId="992" w:customStyle="1">
    <w:name w:val="Заголовок 5 Знак"/>
    <w:link w:val="938"/>
    <w:uiPriority w:val="9"/>
    <w:rPr>
      <w:b/>
      <w:bCs/>
      <w:i/>
      <w:iCs/>
      <w:sz w:val="26"/>
      <w:szCs w:val="26"/>
    </w:rPr>
  </w:style>
  <w:style w:type="character" w:styleId="993" w:customStyle="1">
    <w:name w:val="Заголовок 9 Знак"/>
    <w:link w:val="942"/>
    <w:uiPriority w:val="9"/>
    <w:rPr>
      <w:rFonts w:ascii="Arial" w:hAnsi="Arial" w:cs="Arial"/>
      <w:sz w:val="22"/>
      <w:szCs w:val="22"/>
    </w:rPr>
  </w:style>
  <w:style w:type="paragraph" w:styleId="994">
    <w:name w:val="No Spacing"/>
    <w:basedOn w:val="93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5">
    <w:name w:val="Caption"/>
    <w:basedOn w:val="933"/>
    <w:next w:val="933"/>
    <w:link w:val="80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6" w:customStyle="1">
    <w:name w:val="Название Знак"/>
    <w:link w:val="954"/>
    <w:uiPriority w:val="10"/>
    <w:rPr>
      <w:sz w:val="28"/>
    </w:rPr>
  </w:style>
  <w:style w:type="paragraph" w:styleId="997">
    <w:name w:val="Subtitle"/>
    <w:basedOn w:val="933"/>
    <w:next w:val="933"/>
    <w:link w:val="99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8" w:customStyle="1">
    <w:name w:val="Подзаголовок Знак"/>
    <w:link w:val="99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9">
    <w:name w:val="Emphasis"/>
    <w:uiPriority w:val="20"/>
    <w:qFormat/>
    <w:rPr>
      <w:i/>
      <w:iCs/>
    </w:rPr>
  </w:style>
  <w:style w:type="paragraph" w:styleId="1000">
    <w:name w:val="List Paragraph"/>
    <w:basedOn w:val="933"/>
    <w:link w:val="103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01">
    <w:name w:val="Quote"/>
    <w:basedOn w:val="933"/>
    <w:next w:val="933"/>
    <w:link w:val="100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2" w:customStyle="1">
    <w:name w:val="Цитата 2 Знак"/>
    <w:link w:val="1001"/>
    <w:uiPriority w:val="29"/>
    <w:rPr>
      <w:rFonts w:ascii="Calibri" w:hAnsi="Calibri" w:eastAsia="Calibri"/>
      <w:i/>
      <w:iCs/>
      <w:color w:val="000000"/>
    </w:rPr>
  </w:style>
  <w:style w:type="paragraph" w:styleId="1003">
    <w:name w:val="Intense Quote"/>
    <w:basedOn w:val="933"/>
    <w:next w:val="933"/>
    <w:link w:val="100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4" w:customStyle="1">
    <w:name w:val="Выделенная цитата Знак"/>
    <w:link w:val="1003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5">
    <w:name w:val="Subtle Emphasis"/>
    <w:uiPriority w:val="19"/>
    <w:qFormat/>
    <w:rPr>
      <w:i/>
      <w:iCs/>
      <w:color w:val="808080"/>
    </w:rPr>
  </w:style>
  <w:style w:type="character" w:styleId="1006">
    <w:name w:val="Intense Emphasis"/>
    <w:uiPriority w:val="21"/>
    <w:qFormat/>
    <w:rPr>
      <w:b/>
      <w:bCs/>
      <w:i/>
      <w:iCs/>
      <w:color w:val="4f81bd"/>
    </w:rPr>
  </w:style>
  <w:style w:type="character" w:styleId="1007">
    <w:name w:val="Subtle Reference"/>
    <w:uiPriority w:val="31"/>
    <w:qFormat/>
    <w:rPr>
      <w:smallCaps/>
      <w:color w:val="c0504d"/>
      <w:u w:val="single"/>
    </w:rPr>
  </w:style>
  <w:style w:type="character" w:styleId="100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9">
    <w:name w:val="Book Title"/>
    <w:uiPriority w:val="33"/>
    <w:qFormat/>
    <w:rPr>
      <w:b/>
      <w:bCs/>
      <w:smallCaps/>
      <w:spacing w:val="5"/>
    </w:rPr>
  </w:style>
  <w:style w:type="paragraph" w:styleId="1010">
    <w:name w:val="TOC Heading"/>
    <w:basedOn w:val="934"/>
    <w:next w:val="93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1">
    <w:name w:val="E-mail Signature"/>
    <w:basedOn w:val="933"/>
    <w:link w:val="1012"/>
    <w:uiPriority w:val="99"/>
    <w:unhideWhenUsed/>
    <w:rPr>
      <w:rFonts w:eastAsia="Calibri"/>
      <w:sz w:val="24"/>
      <w:szCs w:val="24"/>
    </w:rPr>
  </w:style>
  <w:style w:type="character" w:styleId="1012" w:customStyle="1">
    <w:name w:val="Электронная подпись Знак"/>
    <w:link w:val="1011"/>
    <w:uiPriority w:val="99"/>
    <w:rPr>
      <w:rFonts w:eastAsia="Calibri"/>
      <w:sz w:val="24"/>
      <w:szCs w:val="24"/>
    </w:rPr>
  </w:style>
  <w:style w:type="paragraph" w:styleId="1013" w:customStyle="1">
    <w:name w:val="Знак"/>
    <w:basedOn w:val="9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4" w:customStyle="1">
    <w:name w:val="Нумерованный список ур3"/>
    <w:basedOn w:val="93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5" w:customStyle="1">
    <w:name w:val="Нумерованный список 1"/>
    <w:basedOn w:val="93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6" w:customStyle="1">
    <w:name w:val="Нумерованный список ур2"/>
    <w:basedOn w:val="93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7">
    <w:name w:val="Revision"/>
    <w:hidden/>
    <w:uiPriority w:val="99"/>
    <w:semiHidden/>
    <w:rPr>
      <w:rFonts w:eastAsia="Calibri"/>
      <w:sz w:val="24"/>
      <w:szCs w:val="24"/>
    </w:rPr>
  </w:style>
  <w:style w:type="paragraph" w:styleId="101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19" w:customStyle="1">
    <w:name w:val="Знак Знак3 Знак Знак"/>
    <w:basedOn w:val="93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20" w:customStyle="1">
    <w:name w:val="Пункт"/>
    <w:basedOn w:val="93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21" w:customStyle="1">
    <w:name w:val="Подпункт Знак1"/>
    <w:link w:val="965"/>
    <w:rPr>
      <w:sz w:val="28"/>
    </w:rPr>
  </w:style>
  <w:style w:type="paragraph" w:styleId="1022" w:customStyle="1">
    <w:name w:val="Абзац списка1"/>
    <w:basedOn w:val="93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23" w:customStyle="1">
    <w:name w:val="Текст сноски Знак"/>
    <w:link w:val="949"/>
    <w:uiPriority w:val="99"/>
  </w:style>
  <w:style w:type="numbering" w:styleId="1024" w:customStyle="1">
    <w:name w:val="Стиль1"/>
    <w:uiPriority w:val="99"/>
    <w:pPr>
      <w:numPr>
        <w:ilvl w:val="0"/>
        <w:numId w:val="3"/>
      </w:numPr>
    </w:pPr>
  </w:style>
  <w:style w:type="paragraph" w:styleId="1025" w:customStyle="1">
    <w:name w:val="Таблица"/>
    <w:basedOn w:val="93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6" w:customStyle="1">
    <w:name w:val="Основной текст Знак"/>
    <w:link w:val="959"/>
    <w:rPr>
      <w:sz w:val="28"/>
      <w:szCs w:val="28"/>
    </w:rPr>
  </w:style>
  <w:style w:type="character" w:styleId="1027" w:customStyle="1">
    <w:name w:val="blk"/>
  </w:style>
  <w:style w:type="numbering" w:styleId="1028" w:customStyle="1">
    <w:name w:val="Стиль2"/>
    <w:uiPriority w:val="99"/>
    <w:pPr>
      <w:numPr>
        <w:ilvl w:val="0"/>
        <w:numId w:val="5"/>
      </w:numPr>
    </w:pPr>
  </w:style>
  <w:style w:type="paragraph" w:styleId="1029" w:customStyle="1">
    <w:name w:val="Таблица шапка"/>
    <w:basedOn w:val="933"/>
    <w:pPr>
      <w:ind w:left="57" w:right="57"/>
      <w:keepNext/>
      <w:spacing w:before="40" w:after="40"/>
    </w:pPr>
    <w:rPr>
      <w:sz w:val="22"/>
      <w:szCs w:val="26"/>
    </w:rPr>
  </w:style>
  <w:style w:type="character" w:styleId="1030" w:customStyle="1">
    <w:name w:val="Абзац списка Знак"/>
    <w:link w:val="1000"/>
    <w:uiPriority w:val="34"/>
    <w:rPr>
      <w:rFonts w:eastAsia="Calibri"/>
      <w:sz w:val="24"/>
      <w:szCs w:val="24"/>
    </w:rPr>
  </w:style>
  <w:style w:type="character" w:styleId="1031" w:customStyle="1">
    <w:name w:val="комментарий"/>
    <w:rPr>
      <w:b/>
      <w:i/>
      <w:shd w:val="clear" w:color="auto" w:fill="ffff99"/>
    </w:rPr>
  </w:style>
  <w:style w:type="paragraph" w:styleId="1032" w:customStyle="1">
    <w:name w:val="Подподпункт"/>
    <w:basedOn w:val="965"/>
    <w:link w:val="103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33" w:customStyle="1">
    <w:name w:val="Подподпункт Знак"/>
    <w:link w:val="1032"/>
    <w:rPr>
      <w:sz w:val="26"/>
      <w:szCs w:val="26"/>
    </w:rPr>
  </w:style>
  <w:style w:type="paragraph" w:styleId="1034" w:customStyle="1">
    <w:name w:val="УРОВЕНЬ_(а)"/>
    <w:basedOn w:val="100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5" w:customStyle="1">
    <w:name w:val="УРОВЕНЬ_-"/>
    <w:basedOn w:val="100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36" w:customStyle="1">
    <w:name w:val="УРОВЕНЬ_Абзац_тип2"/>
    <w:basedOn w:val="100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7" w:customStyle="1">
    <w:name w:val="УРОВЕНЬ_Абзац_тип3"/>
    <w:basedOn w:val="1000"/>
    <w:link w:val="103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8" w:customStyle="1">
    <w:name w:val="УРОВЕНЬ_Подпись"/>
    <w:basedOn w:val="100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39" w:customStyle="1">
    <w:name w:val="УРОВЕНЬ_Абзац_тип3 Знак"/>
    <w:link w:val="1037"/>
    <w:rPr>
      <w:rFonts w:eastAsia="Calibri"/>
      <w:sz w:val="26"/>
      <w:szCs w:val="28"/>
      <w:lang w:eastAsia="en-US"/>
    </w:rPr>
  </w:style>
  <w:style w:type="character" w:styleId="1040" w:customStyle="1">
    <w:name w:val="Верхний колонтитул Знак"/>
    <w:link w:val="955"/>
    <w:uiPriority w:val="99"/>
    <w:rPr>
      <w:sz w:val="24"/>
      <w:szCs w:val="24"/>
    </w:rPr>
  </w:style>
  <w:style w:type="character" w:styleId="1041" w:customStyle="1">
    <w:name w:val="Текст примечания Знак"/>
    <w:link w:val="976"/>
    <w:semiHidden/>
  </w:style>
  <w:style w:type="paragraph" w:styleId="1042" w:customStyle="1">
    <w:name w:val="Стиль Заголовок 1 + по ширине"/>
    <w:basedOn w:val="93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43">
    <w:name w:val="endnote text"/>
    <w:basedOn w:val="933"/>
    <w:link w:val="1044"/>
    <w:rPr>
      <w:sz w:val="20"/>
      <w:szCs w:val="20"/>
    </w:rPr>
  </w:style>
  <w:style w:type="character" w:styleId="1044" w:customStyle="1">
    <w:name w:val="Текст концевой сноски Знак"/>
    <w:basedOn w:val="943"/>
    <w:link w:val="1043"/>
  </w:style>
  <w:style w:type="character" w:styleId="1045">
    <w:name w:val="endnote reference"/>
    <w:basedOn w:val="943"/>
    <w:rPr>
      <w:vertAlign w:val="superscript"/>
    </w:rPr>
  </w:style>
  <w:style w:type="paragraph" w:styleId="1046" w:customStyle="1">
    <w:name w:val="Заголовок 2 КВВ"/>
    <w:basedOn w:val="93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7" w:customStyle="1">
    <w:name w:val="Пункт2 Знак"/>
    <w:link w:val="966"/>
    <w:rPr>
      <w:b/>
      <w:sz w:val="28"/>
    </w:rPr>
  </w:style>
  <w:style w:type="paragraph" w:styleId="1048" w:customStyle="1">
    <w:name w:val="Таблица текст"/>
    <w:basedOn w:val="933"/>
    <w:pPr>
      <w:ind w:left="57" w:right="57"/>
      <w:spacing w:before="40" w:after="40"/>
    </w:pPr>
    <w:rPr>
      <w:sz w:val="24"/>
      <w:szCs w:val="26"/>
    </w:rPr>
  </w:style>
  <w:style w:type="paragraph" w:styleId="1049">
    <w:name w:val="Normal (Web)"/>
    <w:basedOn w:val="93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50" w:customStyle="1">
    <w:name w:val="УРОВЕНЬ_1."/>
    <w:basedOn w:val="1000"/>
    <w:link w:val="105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51" w:customStyle="1">
    <w:name w:val="УРОВЕНЬ_1. Знак"/>
    <w:link w:val="1050"/>
    <w:rPr>
      <w:rFonts w:eastAsia="Calibri"/>
      <w:caps/>
      <w:sz w:val="28"/>
      <w:szCs w:val="28"/>
      <w:lang w:eastAsia="en-US"/>
    </w:rPr>
  </w:style>
  <w:style w:type="table" w:styleId="1052" w:customStyle="1">
    <w:name w:val="Сетка таблицы1"/>
    <w:basedOn w:val="944"/>
    <w:next w:val="95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3">
    <w:name w:val="toc 6"/>
    <w:basedOn w:val="933"/>
    <w:next w:val="93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4">
    <w:name w:val="toc 7"/>
    <w:basedOn w:val="933"/>
    <w:next w:val="93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5">
    <w:name w:val="toc 8"/>
    <w:basedOn w:val="933"/>
    <w:next w:val="93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56" w:customStyle="1">
    <w:name w:val="Неразрешенное упоминание1"/>
    <w:basedOn w:val="943"/>
    <w:uiPriority w:val="99"/>
    <w:semiHidden/>
    <w:unhideWhenUsed/>
    <w:rPr>
      <w:color w:val="605e5c"/>
      <w:shd w:val="clear" w:color="auto" w:fill="e1dfdd"/>
    </w:rPr>
  </w:style>
  <w:style w:type="character" w:styleId="1057" w:customStyle="1">
    <w:name w:val="Основной текст с отступом 3 Знак"/>
    <w:link w:val="962"/>
    <w:rPr>
      <w:sz w:val="16"/>
      <w:szCs w:val="16"/>
    </w:rPr>
  </w:style>
  <w:style w:type="paragraph" w:styleId="1058" w:customStyle="1">
    <w:name w:val="ConsNonformat"/>
    <w:rPr>
      <w:rFonts w:ascii="Courier New" w:hAnsi="Courier New" w:cs="Courier New"/>
    </w:rPr>
  </w:style>
  <w:style w:type="paragraph" w:styleId="1059" w:customStyle="1">
    <w:name w:val="Main 14"/>
    <w:basedOn w:val="99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60" w:customStyle="1">
    <w:name w:val="Основной текст3"/>
    <w:basedOn w:val="975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character" w:styleId="1061" w:customStyle="1">
    <w:name w:val="Основной текст2"/>
    <w:basedOn w:val="1038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Relationship Id="rId14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6BA6-8C9E-4269-90CF-AFC3193D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kuznetcova_en</cp:lastModifiedBy>
  <cp:revision>43</cp:revision>
  <dcterms:created xsi:type="dcterms:W3CDTF">2024-03-12T00:51:00Z</dcterms:created>
  <dcterms:modified xsi:type="dcterms:W3CDTF">2026-03-11T01:26:32Z</dcterms:modified>
</cp:coreProperties>
</file>